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5FBB" w14:textId="77777777" w:rsidR="00AE2763" w:rsidRDefault="005A15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A97F5" wp14:editId="18D5ACB2">
            <wp:simplePos x="0" y="0"/>
            <wp:positionH relativeFrom="column">
              <wp:posOffset>3523615</wp:posOffset>
            </wp:positionH>
            <wp:positionV relativeFrom="paragraph">
              <wp:posOffset>-114300</wp:posOffset>
            </wp:positionV>
            <wp:extent cx="135255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093" y="21257"/>
                <wp:lineTo x="210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7030A0"/>
          <w:sz w:val="36"/>
          <w:szCs w:val="36"/>
          <w:lang w:eastAsia="en-GB"/>
        </w:rPr>
        <w:drawing>
          <wp:inline distT="0" distB="0" distL="0" distR="0" wp14:anchorId="1164E27C" wp14:editId="2D2A0743">
            <wp:extent cx="1143000" cy="7989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5" t="18088" r="11919" b="1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F285" w14:textId="3741B9A1" w:rsidR="007B7A30" w:rsidRDefault="007B7A30" w:rsidP="003F5DCD">
      <w:pPr>
        <w:ind w:left="-567"/>
        <w:rPr>
          <w:b/>
          <w:sz w:val="36"/>
        </w:rPr>
      </w:pPr>
      <w:r w:rsidRPr="00B02A43">
        <w:rPr>
          <w:b/>
          <w:sz w:val="36"/>
        </w:rPr>
        <w:t>Ma</w:t>
      </w:r>
      <w:r w:rsidR="00260DEB">
        <w:rPr>
          <w:b/>
          <w:sz w:val="36"/>
        </w:rPr>
        <w:t>king Safeguarding Personal 20</w:t>
      </w:r>
      <w:r w:rsidRPr="00B02A43">
        <w:rPr>
          <w:b/>
          <w:sz w:val="36"/>
        </w:rPr>
        <w:t>14</w:t>
      </w:r>
      <w:r w:rsidR="000F4B78">
        <w:rPr>
          <w:b/>
          <w:sz w:val="36"/>
        </w:rPr>
        <w:t xml:space="preserve"> - 17</w:t>
      </w:r>
    </w:p>
    <w:p w14:paraId="76A49F58" w14:textId="77777777" w:rsidR="00B02A43" w:rsidRPr="00B02A43" w:rsidRDefault="00B02A43" w:rsidP="003F5DCD">
      <w:pPr>
        <w:ind w:left="-567"/>
        <w:rPr>
          <w:b/>
          <w:color w:val="96007D"/>
          <w:sz w:val="32"/>
          <w:lang w:val="en-US"/>
        </w:rPr>
      </w:pPr>
      <w:r w:rsidRPr="00B02A43">
        <w:rPr>
          <w:b/>
          <w:color w:val="96007D"/>
          <w:sz w:val="32"/>
        </w:rPr>
        <w:t xml:space="preserve">Invitation to participate in </w:t>
      </w:r>
      <w:r>
        <w:rPr>
          <w:b/>
          <w:color w:val="96007D"/>
          <w:sz w:val="32"/>
        </w:rPr>
        <w:t xml:space="preserve">sector led </w:t>
      </w:r>
      <w:r w:rsidRPr="00B02A43">
        <w:rPr>
          <w:b/>
          <w:color w:val="96007D"/>
          <w:sz w:val="32"/>
        </w:rPr>
        <w:t>improvement work</w:t>
      </w:r>
    </w:p>
    <w:p w14:paraId="297A23CD" w14:textId="77777777" w:rsidR="005A150E" w:rsidRPr="003F5DCD" w:rsidRDefault="000E4EC9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 xml:space="preserve">Making Safeguarding Personal is a key component of </w:t>
      </w:r>
      <w:r w:rsidR="00B02A43" w:rsidRPr="003F5DCD">
        <w:rPr>
          <w:sz w:val="22"/>
          <w:szCs w:val="22"/>
        </w:rPr>
        <w:t xml:space="preserve">the </w:t>
      </w:r>
      <w:r w:rsidRPr="003F5DCD">
        <w:rPr>
          <w:sz w:val="22"/>
          <w:szCs w:val="22"/>
        </w:rPr>
        <w:t xml:space="preserve">improvement </w:t>
      </w:r>
      <w:r w:rsidR="00B02A43" w:rsidRPr="003F5DCD">
        <w:rPr>
          <w:sz w:val="22"/>
          <w:szCs w:val="22"/>
        </w:rPr>
        <w:t>work that is being led by ADASS and LGA.</w:t>
      </w:r>
    </w:p>
    <w:p w14:paraId="6EBCDB68" w14:textId="77777777" w:rsidR="003F5DCD" w:rsidRDefault="003F5DCD" w:rsidP="003F5DCD">
      <w:pPr>
        <w:ind w:left="-567"/>
        <w:rPr>
          <w:sz w:val="22"/>
          <w:szCs w:val="22"/>
        </w:rPr>
      </w:pPr>
    </w:p>
    <w:p w14:paraId="480B19A0" w14:textId="77777777" w:rsidR="00B02A43" w:rsidRPr="003F5DCD" w:rsidRDefault="00B02A43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In 2011-12, we developed ‘Making Safeguarding Personal: A Toolkit of Responses’.</w:t>
      </w:r>
    </w:p>
    <w:p w14:paraId="584EF10B" w14:textId="77777777" w:rsidR="003F5DCD" w:rsidRDefault="003F5DCD" w:rsidP="003F5DCD">
      <w:pPr>
        <w:ind w:left="-567"/>
        <w:rPr>
          <w:sz w:val="22"/>
          <w:szCs w:val="22"/>
        </w:rPr>
      </w:pPr>
    </w:p>
    <w:p w14:paraId="5AB95EC0" w14:textId="77777777" w:rsidR="00B02A43" w:rsidRPr="003F5DCD" w:rsidRDefault="00B02A43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In 2012-13, we worked with a small number of councils to testbed an outcomes focussed approach and a range of responses to working with people in safeguarding circumstances.</w:t>
      </w:r>
    </w:p>
    <w:p w14:paraId="67821EAA" w14:textId="77777777" w:rsidR="003F5DCD" w:rsidRDefault="003F5DCD" w:rsidP="003F5DCD">
      <w:pPr>
        <w:ind w:left="-567"/>
        <w:rPr>
          <w:sz w:val="22"/>
          <w:szCs w:val="22"/>
        </w:rPr>
      </w:pPr>
    </w:p>
    <w:p w14:paraId="66B2FA2E" w14:textId="11446BE5" w:rsidR="00A40D2F" w:rsidRPr="003F5DCD" w:rsidRDefault="00B02A43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 xml:space="preserve">For 2013-14, </w:t>
      </w:r>
      <w:r w:rsidR="00A40D2F" w:rsidRPr="003F5DCD">
        <w:rPr>
          <w:sz w:val="22"/>
          <w:szCs w:val="22"/>
        </w:rPr>
        <w:t>the Making Safeguarding Personal (MSP) programme produced enthusiastic engagement of a significant number of council staff and very encouraging results both for people supported by safeguarding services and for social work development.</w:t>
      </w:r>
    </w:p>
    <w:p w14:paraId="05DF60A3" w14:textId="77777777" w:rsidR="003F5DCD" w:rsidRDefault="003F5DCD" w:rsidP="003F5DCD">
      <w:pPr>
        <w:ind w:left="-567"/>
        <w:rPr>
          <w:sz w:val="22"/>
          <w:szCs w:val="22"/>
        </w:rPr>
      </w:pPr>
    </w:p>
    <w:p w14:paraId="2B6EF953" w14:textId="5A69036B" w:rsidR="00A40D2F" w:rsidRPr="00637ED4" w:rsidRDefault="00A40D2F" w:rsidP="00637ED4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TEASC and an advisory group that has included RiPfA, The College of Social Work and key academics have supported these initiatives.</w:t>
      </w:r>
      <w:r w:rsidR="00637ED4">
        <w:rPr>
          <w:sz w:val="22"/>
          <w:szCs w:val="22"/>
        </w:rPr>
        <w:t xml:space="preserve"> </w:t>
      </w:r>
      <w:r w:rsidRPr="003F5DCD">
        <w:rPr>
          <w:sz w:val="22"/>
          <w:szCs w:val="22"/>
        </w:rPr>
        <w:t>Funding has been secured through DH for further work for the next three years to support both the implementation of the Care Bill</w:t>
      </w:r>
      <w:r w:rsidR="00CD7D2A" w:rsidRPr="003F5DCD">
        <w:rPr>
          <w:sz w:val="22"/>
          <w:szCs w:val="22"/>
        </w:rPr>
        <w:t xml:space="preserve"> and its associated statutory guidance</w:t>
      </w:r>
      <w:r w:rsidRPr="003F5DCD">
        <w:rPr>
          <w:sz w:val="22"/>
          <w:szCs w:val="22"/>
        </w:rPr>
        <w:t xml:space="preserve"> and safeguarding improvement.  This is therefore an invitation to express interest in taking this forward in your council area </w:t>
      </w:r>
      <w:r w:rsidRPr="003F5DCD">
        <w:rPr>
          <w:i/>
          <w:sz w:val="22"/>
          <w:szCs w:val="22"/>
        </w:rPr>
        <w:t xml:space="preserve">for both those that have already been involved and those that want to </w:t>
      </w:r>
      <w:r w:rsidR="00260DEB" w:rsidRPr="003F5DCD">
        <w:rPr>
          <w:i/>
          <w:sz w:val="22"/>
          <w:szCs w:val="22"/>
        </w:rPr>
        <w:t xml:space="preserve">be involved from now on </w:t>
      </w:r>
      <w:r w:rsidRPr="003F5DCD">
        <w:rPr>
          <w:i/>
          <w:sz w:val="22"/>
          <w:szCs w:val="22"/>
        </w:rPr>
        <w:t>from now on.</w:t>
      </w:r>
    </w:p>
    <w:p w14:paraId="23133C0A" w14:textId="77777777" w:rsidR="003F5DCD" w:rsidRDefault="003F5DCD" w:rsidP="003F5DCD">
      <w:pPr>
        <w:ind w:left="-567"/>
        <w:rPr>
          <w:sz w:val="22"/>
          <w:szCs w:val="22"/>
        </w:rPr>
      </w:pPr>
    </w:p>
    <w:p w14:paraId="72CBD6D8" w14:textId="6184A08E" w:rsidR="00260DEB" w:rsidRPr="003F5DCD" w:rsidRDefault="00260DEB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If you were involved last year (phase 1) please let us know what you would like to do next.</w:t>
      </w:r>
    </w:p>
    <w:p w14:paraId="192953E8" w14:textId="6ADA9EB3" w:rsidR="00260DEB" w:rsidRPr="003F5DCD" w:rsidRDefault="00260DEB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 xml:space="preserve">If you  </w:t>
      </w:r>
      <w:r w:rsidR="00CD7D2A" w:rsidRPr="003F5DCD">
        <w:rPr>
          <w:sz w:val="22"/>
          <w:szCs w:val="22"/>
        </w:rPr>
        <w:t>haven’t been involved so far then please do let us know how you would like to be involved from now on.</w:t>
      </w:r>
    </w:p>
    <w:p w14:paraId="33F31D3B" w14:textId="77777777" w:rsidR="003F5DCD" w:rsidRDefault="003F5DCD" w:rsidP="003F5DCD">
      <w:pPr>
        <w:ind w:left="-567"/>
        <w:rPr>
          <w:sz w:val="22"/>
          <w:szCs w:val="22"/>
        </w:rPr>
      </w:pPr>
    </w:p>
    <w:p w14:paraId="1EDADC5A" w14:textId="7A6F96D8" w:rsidR="00B02A43" w:rsidRPr="003F5DCD" w:rsidRDefault="00A40D2F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 xml:space="preserve">Whilst this is neither a competition nor an accreditation process, it has been helpful shorthand to think of participation at three levels. </w:t>
      </w:r>
      <w:r w:rsidR="00B02A43" w:rsidRPr="003F5DCD">
        <w:rPr>
          <w:sz w:val="22"/>
          <w:szCs w:val="22"/>
        </w:rPr>
        <w:t xml:space="preserve">These </w:t>
      </w:r>
      <w:r w:rsidR="00AF1656" w:rsidRPr="003F5DCD">
        <w:rPr>
          <w:sz w:val="22"/>
          <w:szCs w:val="22"/>
        </w:rPr>
        <w:t>are:</w:t>
      </w:r>
    </w:p>
    <w:p w14:paraId="4D442E01" w14:textId="77777777" w:rsidR="00AF1656" w:rsidRPr="003F5DCD" w:rsidRDefault="00AF1656" w:rsidP="003F5DCD">
      <w:pPr>
        <w:ind w:left="-567" w:firstLine="567"/>
        <w:rPr>
          <w:sz w:val="22"/>
          <w:szCs w:val="22"/>
        </w:rPr>
      </w:pPr>
    </w:p>
    <w:tbl>
      <w:tblPr>
        <w:tblStyle w:val="TableGrid"/>
        <w:tblW w:w="9180" w:type="dxa"/>
        <w:tblInd w:w="-459" w:type="dxa"/>
        <w:tblLook w:val="04A0" w:firstRow="1" w:lastRow="0" w:firstColumn="1" w:lastColumn="0" w:noHBand="0" w:noVBand="1"/>
      </w:tblPr>
      <w:tblGrid>
        <w:gridCol w:w="1017"/>
        <w:gridCol w:w="8163"/>
      </w:tblGrid>
      <w:tr w:rsidR="00A40D2F" w:rsidRPr="003F5DCD" w14:paraId="046C1EA0" w14:textId="77777777" w:rsidTr="003F5DCD">
        <w:tc>
          <w:tcPr>
            <w:tcW w:w="1017" w:type="dxa"/>
            <w:shd w:val="clear" w:color="auto" w:fill="96007D"/>
          </w:tcPr>
          <w:p w14:paraId="4BA5C261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Level</w:t>
            </w:r>
          </w:p>
        </w:tc>
        <w:tc>
          <w:tcPr>
            <w:tcW w:w="8163" w:type="dxa"/>
            <w:shd w:val="clear" w:color="auto" w:fill="96007D"/>
          </w:tcPr>
          <w:p w14:paraId="311ED583" w14:textId="77777777" w:rsidR="00A40D2F" w:rsidRPr="003F5DCD" w:rsidRDefault="00A40D2F" w:rsidP="003F5DCD">
            <w:pPr>
              <w:ind w:left="-567" w:right="-675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What this involves</w:t>
            </w:r>
          </w:p>
        </w:tc>
      </w:tr>
      <w:tr w:rsidR="00A40D2F" w:rsidRPr="003F5DCD" w14:paraId="084A046D" w14:textId="77777777" w:rsidTr="003F5DCD">
        <w:tc>
          <w:tcPr>
            <w:tcW w:w="1017" w:type="dxa"/>
          </w:tcPr>
          <w:p w14:paraId="42DF8883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 xml:space="preserve">‘Bronze’ </w:t>
            </w:r>
          </w:p>
        </w:tc>
        <w:tc>
          <w:tcPr>
            <w:tcW w:w="8163" w:type="dxa"/>
          </w:tcPr>
          <w:p w14:paraId="1484DFC3" w14:textId="70BFB973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Developing an outcomes focussed, person centred approach to safeguarding.</w:t>
            </w:r>
          </w:p>
          <w:p w14:paraId="4888EAF8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Aggregating outcomes for Board as quality measure</w:t>
            </w:r>
          </w:p>
          <w:p w14:paraId="47AB0F99" w14:textId="063A5290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Sharing results and feedback of impact.</w:t>
            </w:r>
          </w:p>
        </w:tc>
      </w:tr>
      <w:tr w:rsidR="00A40D2F" w:rsidRPr="003F5DCD" w14:paraId="13328E19" w14:textId="77777777" w:rsidTr="003F5DCD">
        <w:tc>
          <w:tcPr>
            <w:tcW w:w="1017" w:type="dxa"/>
          </w:tcPr>
          <w:p w14:paraId="1A987B6D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‘Silver’</w:t>
            </w:r>
          </w:p>
        </w:tc>
        <w:tc>
          <w:tcPr>
            <w:tcW w:w="8163" w:type="dxa"/>
          </w:tcPr>
          <w:p w14:paraId="66C3D66B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As above and/or working to develop one or more responses (from the MSP toolkit or elsewhere) to support the realisation of the outcomes people want.</w:t>
            </w:r>
          </w:p>
          <w:p w14:paraId="0205AE34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Sharing impact and outcomes.</w:t>
            </w:r>
          </w:p>
        </w:tc>
      </w:tr>
      <w:tr w:rsidR="00A40D2F" w:rsidRPr="003F5DCD" w14:paraId="769CE411" w14:textId="77777777" w:rsidTr="003F5DCD">
        <w:tc>
          <w:tcPr>
            <w:tcW w:w="1017" w:type="dxa"/>
          </w:tcPr>
          <w:p w14:paraId="15820AA9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‘Gold’</w:t>
            </w:r>
          </w:p>
        </w:tc>
        <w:tc>
          <w:tcPr>
            <w:tcW w:w="8163" w:type="dxa"/>
          </w:tcPr>
          <w:p w14:paraId="38DFA400" w14:textId="77777777" w:rsidR="00A40D2F" w:rsidRPr="003F5DCD" w:rsidRDefault="00A40D2F" w:rsidP="003F5DCD">
            <w:pPr>
              <w:ind w:left="-567" w:firstLine="567"/>
              <w:rPr>
                <w:sz w:val="22"/>
                <w:szCs w:val="22"/>
              </w:rPr>
            </w:pPr>
            <w:r w:rsidRPr="003F5DCD">
              <w:rPr>
                <w:sz w:val="22"/>
                <w:szCs w:val="22"/>
              </w:rPr>
              <w:t>As above – plus councils approach HEIs or others to undertake more formal evaluation.</w:t>
            </w:r>
          </w:p>
        </w:tc>
      </w:tr>
    </w:tbl>
    <w:p w14:paraId="7BE662C6" w14:textId="77777777" w:rsidR="00AF1656" w:rsidRPr="003F5DCD" w:rsidRDefault="00AF1656" w:rsidP="003F5DCD">
      <w:pPr>
        <w:ind w:left="-567" w:firstLine="567"/>
        <w:rPr>
          <w:sz w:val="22"/>
          <w:szCs w:val="22"/>
        </w:rPr>
      </w:pPr>
    </w:p>
    <w:p w14:paraId="0F3884F5" w14:textId="3A5EEED8" w:rsidR="00A40D2F" w:rsidRPr="003F5DCD" w:rsidRDefault="00A40D2F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A range of activities to support you is being planned</w:t>
      </w:r>
      <w:r w:rsidR="00CD7D2A" w:rsidRPr="003F5DCD">
        <w:rPr>
          <w:sz w:val="22"/>
          <w:szCs w:val="22"/>
        </w:rPr>
        <w:t xml:space="preserve"> and will be finalised once we know at what levels you wish to be involved</w:t>
      </w:r>
      <w:r w:rsidRPr="003F5DCD">
        <w:rPr>
          <w:sz w:val="22"/>
          <w:szCs w:val="22"/>
        </w:rPr>
        <w:t>.</w:t>
      </w:r>
    </w:p>
    <w:p w14:paraId="0597DAB3" w14:textId="77777777" w:rsidR="00A40D2F" w:rsidRPr="003F5DCD" w:rsidRDefault="00A40D2F" w:rsidP="003F5DCD">
      <w:pPr>
        <w:ind w:left="-567"/>
        <w:rPr>
          <w:b/>
          <w:color w:val="96007D"/>
          <w:sz w:val="22"/>
          <w:szCs w:val="22"/>
        </w:rPr>
      </w:pPr>
    </w:p>
    <w:p w14:paraId="490CF27B" w14:textId="77777777" w:rsidR="00D37FB9" w:rsidRPr="003F5DCD" w:rsidRDefault="00D37FB9" w:rsidP="003F5DCD">
      <w:pPr>
        <w:ind w:left="-567"/>
        <w:rPr>
          <w:b/>
          <w:color w:val="96007D"/>
          <w:szCs w:val="22"/>
        </w:rPr>
      </w:pPr>
      <w:r w:rsidRPr="003F5DCD">
        <w:rPr>
          <w:b/>
          <w:color w:val="96007D"/>
          <w:szCs w:val="22"/>
        </w:rPr>
        <w:t>How to sign up:</w:t>
      </w:r>
    </w:p>
    <w:p w14:paraId="49EC8803" w14:textId="6D116AC5" w:rsidR="00D37FB9" w:rsidRPr="003F5DCD" w:rsidRDefault="00D37FB9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 xml:space="preserve">If you would like to take part then </w:t>
      </w:r>
      <w:r w:rsidRPr="003F5DCD">
        <w:rPr>
          <w:b/>
          <w:sz w:val="22"/>
          <w:szCs w:val="22"/>
        </w:rPr>
        <w:t xml:space="preserve">please e-mail </w:t>
      </w:r>
      <w:hyperlink r:id="rId10" w:history="1">
        <w:r w:rsidRPr="003F5DCD">
          <w:rPr>
            <w:rStyle w:val="Hyperlink"/>
            <w:b/>
            <w:sz w:val="22"/>
            <w:szCs w:val="22"/>
          </w:rPr>
          <w:t>cathiewilliams@btinternet.com</w:t>
        </w:r>
      </w:hyperlink>
      <w:r w:rsidR="00A40D2F" w:rsidRPr="003F5DCD">
        <w:rPr>
          <w:b/>
          <w:sz w:val="22"/>
          <w:szCs w:val="22"/>
        </w:rPr>
        <w:t xml:space="preserve"> by the </w:t>
      </w:r>
      <w:r w:rsidR="00260DEB" w:rsidRPr="003F5DCD">
        <w:rPr>
          <w:b/>
          <w:sz w:val="22"/>
          <w:szCs w:val="22"/>
        </w:rPr>
        <w:t>30</w:t>
      </w:r>
      <w:r w:rsidR="00A40D2F" w:rsidRPr="003F5DCD">
        <w:rPr>
          <w:b/>
          <w:sz w:val="22"/>
          <w:szCs w:val="22"/>
          <w:vertAlign w:val="superscript"/>
        </w:rPr>
        <w:t>th</w:t>
      </w:r>
      <w:r w:rsidR="00A40D2F" w:rsidRPr="003F5DCD">
        <w:rPr>
          <w:b/>
          <w:sz w:val="22"/>
          <w:szCs w:val="22"/>
        </w:rPr>
        <w:t xml:space="preserve"> May</w:t>
      </w:r>
      <w:r w:rsidR="00637ED4">
        <w:rPr>
          <w:b/>
          <w:sz w:val="22"/>
          <w:szCs w:val="22"/>
        </w:rPr>
        <w:t xml:space="preserve"> for the first phase</w:t>
      </w:r>
      <w:r w:rsidR="00A40D2F" w:rsidRPr="003F5DCD">
        <w:rPr>
          <w:b/>
          <w:sz w:val="22"/>
          <w:szCs w:val="22"/>
        </w:rPr>
        <w:t xml:space="preserve">, </w:t>
      </w:r>
      <w:r w:rsidR="00A40D2F" w:rsidRPr="003F5DCD">
        <w:rPr>
          <w:sz w:val="22"/>
          <w:szCs w:val="22"/>
        </w:rPr>
        <w:t>with an indication of what level you would wish to engage at.</w:t>
      </w:r>
      <w:r w:rsidR="00637ED4">
        <w:rPr>
          <w:sz w:val="22"/>
          <w:szCs w:val="22"/>
        </w:rPr>
        <w:t xml:space="preserve"> IF you are unable to sign up byt that date please indicate your preferred level of engagement for the next phase by the 30</w:t>
      </w:r>
      <w:r w:rsidR="00637ED4" w:rsidRPr="00637ED4">
        <w:rPr>
          <w:sz w:val="22"/>
          <w:szCs w:val="22"/>
          <w:vertAlign w:val="superscript"/>
        </w:rPr>
        <w:t>th</w:t>
      </w:r>
      <w:r w:rsidR="00637ED4">
        <w:rPr>
          <w:sz w:val="22"/>
          <w:szCs w:val="22"/>
        </w:rPr>
        <w:t xml:space="preserve"> June.</w:t>
      </w:r>
    </w:p>
    <w:p w14:paraId="122AC80A" w14:textId="77777777" w:rsidR="00D37FB9" w:rsidRPr="003F5DCD" w:rsidRDefault="00D37FB9" w:rsidP="003F5DCD">
      <w:pPr>
        <w:ind w:left="-567"/>
        <w:rPr>
          <w:sz w:val="22"/>
          <w:szCs w:val="22"/>
        </w:rPr>
      </w:pPr>
    </w:p>
    <w:p w14:paraId="0E48DF28" w14:textId="77777777" w:rsidR="00D37FB9" w:rsidRPr="003F5DCD" w:rsidRDefault="00D37FB9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Cathie Williams, LGA Adult Safeguarding</w:t>
      </w:r>
    </w:p>
    <w:p w14:paraId="1CA5CBDD" w14:textId="77777777" w:rsidR="00D37FB9" w:rsidRPr="003F5DCD" w:rsidRDefault="00D37FB9" w:rsidP="003F5DCD">
      <w:pPr>
        <w:ind w:left="-567"/>
        <w:rPr>
          <w:sz w:val="22"/>
          <w:szCs w:val="22"/>
        </w:rPr>
      </w:pPr>
      <w:r w:rsidRPr="003F5DCD">
        <w:rPr>
          <w:sz w:val="22"/>
          <w:szCs w:val="22"/>
        </w:rPr>
        <w:t>Adi-Cooper, Co</w:t>
      </w:r>
      <w:r w:rsidR="00F921AC" w:rsidRPr="003F5DCD">
        <w:rPr>
          <w:sz w:val="22"/>
          <w:szCs w:val="22"/>
        </w:rPr>
        <w:t>-</w:t>
      </w:r>
      <w:r w:rsidRPr="003F5DCD">
        <w:rPr>
          <w:sz w:val="22"/>
          <w:szCs w:val="22"/>
        </w:rPr>
        <w:t>Lead, ADASS Safeguarding</w:t>
      </w:r>
    </w:p>
    <w:sectPr w:rsidR="00D37FB9" w:rsidRPr="003F5DCD" w:rsidSect="003F5DCD">
      <w:pgSz w:w="11900" w:h="16840"/>
      <w:pgMar w:top="1134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83A7" w14:textId="77777777" w:rsidR="00CD7D2A" w:rsidRDefault="00CD7D2A" w:rsidP="00AF1656">
      <w:r>
        <w:separator/>
      </w:r>
    </w:p>
  </w:endnote>
  <w:endnote w:type="continuationSeparator" w:id="0">
    <w:p w14:paraId="5FEE0447" w14:textId="77777777" w:rsidR="00CD7D2A" w:rsidRDefault="00CD7D2A" w:rsidP="00A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B652" w14:textId="77777777" w:rsidR="00CD7D2A" w:rsidRDefault="00CD7D2A" w:rsidP="00AF1656">
      <w:r>
        <w:separator/>
      </w:r>
    </w:p>
  </w:footnote>
  <w:footnote w:type="continuationSeparator" w:id="0">
    <w:p w14:paraId="1710AA1F" w14:textId="77777777" w:rsidR="00CD7D2A" w:rsidRDefault="00CD7D2A" w:rsidP="00AF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62A1"/>
    <w:multiLevelType w:val="hybridMultilevel"/>
    <w:tmpl w:val="25A82984"/>
    <w:lvl w:ilvl="0" w:tplc="05A0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7A6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2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F8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22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8AD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74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C6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D8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44105B8B"/>
    <w:multiLevelType w:val="hybridMultilevel"/>
    <w:tmpl w:val="6FD81F40"/>
    <w:lvl w:ilvl="0" w:tplc="62222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64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06E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12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52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5A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26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44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D2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10F1E60"/>
    <w:multiLevelType w:val="hybridMultilevel"/>
    <w:tmpl w:val="24EE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E"/>
    <w:rsid w:val="000C41D0"/>
    <w:rsid w:val="000E4EC9"/>
    <w:rsid w:val="000F4B78"/>
    <w:rsid w:val="00260DEB"/>
    <w:rsid w:val="003F5DCD"/>
    <w:rsid w:val="005A150E"/>
    <w:rsid w:val="00637ED4"/>
    <w:rsid w:val="00642D53"/>
    <w:rsid w:val="007B7A30"/>
    <w:rsid w:val="008166CF"/>
    <w:rsid w:val="00885338"/>
    <w:rsid w:val="00A40D2F"/>
    <w:rsid w:val="00AE2763"/>
    <w:rsid w:val="00AF1656"/>
    <w:rsid w:val="00B02A43"/>
    <w:rsid w:val="00CD7D2A"/>
    <w:rsid w:val="00D37FB9"/>
    <w:rsid w:val="00D407B1"/>
    <w:rsid w:val="00F921A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D3A7D"/>
  <w14:defaultImageDpi w14:val="300"/>
  <w15:docId w15:val="{F0058C85-331E-47D5-8176-34707EC2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D0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338"/>
    <w:pPr>
      <w:keepNext/>
      <w:keepLines/>
      <w:spacing w:before="480"/>
      <w:outlineLvl w:val="0"/>
    </w:pPr>
    <w:rPr>
      <w:rFonts w:eastAsiaTheme="majorEastAsia" w:cstheme="majorBidi"/>
      <w:b/>
      <w:bCs/>
      <w:color w:val="6666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338"/>
    <w:pPr>
      <w:keepNext/>
      <w:keepLines/>
      <w:spacing w:before="200"/>
      <w:outlineLvl w:val="1"/>
    </w:pPr>
    <w:rPr>
      <w:rFonts w:eastAsiaTheme="majorEastAsia" w:cstheme="majorBidi"/>
      <w:b/>
      <w:bCs/>
      <w:color w:val="00FF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338"/>
    <w:rPr>
      <w:rFonts w:asciiTheme="majorHAnsi" w:eastAsiaTheme="majorEastAsia" w:hAnsiTheme="majorHAnsi" w:cstheme="majorBidi"/>
      <w:b/>
      <w:bCs/>
      <w:color w:val="6666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338"/>
    <w:rPr>
      <w:rFonts w:asciiTheme="majorHAnsi" w:eastAsiaTheme="majorEastAsia" w:hAnsiTheme="majorHAnsi" w:cstheme="majorBidi"/>
      <w:b/>
      <w:bCs/>
      <w:color w:val="00FF8D"/>
      <w:sz w:val="26"/>
      <w:szCs w:val="26"/>
    </w:rPr>
  </w:style>
  <w:style w:type="paragraph" w:styleId="Title">
    <w:name w:val="Title"/>
    <w:aliases w:val="az"/>
    <w:basedOn w:val="Normal"/>
    <w:next w:val="Normal"/>
    <w:link w:val="TitleChar"/>
    <w:uiPriority w:val="10"/>
    <w:qFormat/>
    <w:rsid w:val="008853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300CF"/>
      <w:spacing w:val="5"/>
      <w:kern w:val="28"/>
      <w:sz w:val="52"/>
      <w:szCs w:val="52"/>
      <w:u w:val="single"/>
    </w:rPr>
  </w:style>
  <w:style w:type="character" w:customStyle="1" w:styleId="TitleChar">
    <w:name w:val="Title Char"/>
    <w:aliases w:val="az Char"/>
    <w:basedOn w:val="DefaultParagraphFont"/>
    <w:link w:val="Title"/>
    <w:uiPriority w:val="10"/>
    <w:rsid w:val="00885338"/>
    <w:rPr>
      <w:rFonts w:asciiTheme="majorHAnsi" w:eastAsiaTheme="majorEastAsia" w:hAnsiTheme="majorHAnsi" w:cstheme="majorBidi"/>
      <w:color w:val="3300CF"/>
      <w:spacing w:val="5"/>
      <w:kern w:val="28"/>
      <w:sz w:val="52"/>
      <w:szCs w:val="5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85338"/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5338"/>
    <w:rPr>
      <w:rFonts w:asciiTheme="majorHAnsi" w:hAnsiTheme="maj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F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F1656"/>
  </w:style>
  <w:style w:type="character" w:customStyle="1" w:styleId="FootnoteTextChar">
    <w:name w:val="Footnote Text Char"/>
    <w:basedOn w:val="DefaultParagraphFont"/>
    <w:link w:val="FootnoteText"/>
    <w:uiPriority w:val="99"/>
    <w:rsid w:val="00AF1656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AF16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656"/>
    <w:pPr>
      <w:ind w:left="720"/>
      <w:contextualSpacing/>
    </w:pPr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7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iewilliams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92458-3B44-43B9-898F-A5DB1D89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williams</dc:creator>
  <cp:keywords/>
  <dc:description/>
  <cp:lastModifiedBy>Sara Zmertych</cp:lastModifiedBy>
  <cp:revision>2</cp:revision>
  <dcterms:created xsi:type="dcterms:W3CDTF">2014-05-27T10:40:00Z</dcterms:created>
  <dcterms:modified xsi:type="dcterms:W3CDTF">2014-05-27T10:40:00Z</dcterms:modified>
</cp:coreProperties>
</file>