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BF" w:rsidRPr="003608BF" w:rsidRDefault="003608BF" w:rsidP="00E076B7">
      <w:pPr>
        <w:tabs>
          <w:tab w:val="left" w:pos="8115"/>
        </w:tabs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86FEFD1" wp14:editId="2950159F">
            <wp:extent cx="5534025" cy="1771650"/>
            <wp:effectExtent l="0" t="0" r="476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3608BF">
        <w:rPr>
          <w:rFonts w:ascii="Arial" w:hAnsi="Arial" w:cs="Arial"/>
          <w:b/>
        </w:rPr>
        <w:t xml:space="preserve">Five events are being held to develop standards to enable Local Authority commissioners, and their partners, to support effective commissioning practice in adult social care. </w:t>
      </w:r>
      <w:r>
        <w:rPr>
          <w:rFonts w:ascii="Arial" w:hAnsi="Arial" w:cs="Arial"/>
          <w:b/>
        </w:rPr>
        <w:t>Each event has a different them</w:t>
      </w:r>
      <w:r w:rsidR="000C774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and </w:t>
      </w:r>
      <w:r w:rsidRPr="003608BF">
        <w:rPr>
          <w:rFonts w:ascii="Arial" w:hAnsi="Arial" w:cs="Arial"/>
          <w:b/>
          <w:color w:val="000000"/>
          <w:lang w:eastAsia="en-GB"/>
        </w:rPr>
        <w:t>there will be presentation</w:t>
      </w:r>
      <w:r>
        <w:rPr>
          <w:rFonts w:ascii="Arial" w:hAnsi="Arial" w:cs="Arial"/>
          <w:b/>
          <w:color w:val="000000"/>
          <w:lang w:eastAsia="en-GB"/>
        </w:rPr>
        <w:t>s</w:t>
      </w:r>
      <w:r w:rsidRPr="003608BF">
        <w:rPr>
          <w:rFonts w:ascii="Arial" w:hAnsi="Arial" w:cs="Arial"/>
          <w:b/>
          <w:color w:val="000000"/>
          <w:lang w:eastAsia="en-GB"/>
        </w:rPr>
        <w:t xml:space="preserve"> on </w:t>
      </w:r>
      <w:r w:rsidR="000C7749">
        <w:rPr>
          <w:rFonts w:ascii="Arial" w:hAnsi="Arial" w:cs="Arial"/>
          <w:b/>
          <w:color w:val="000000"/>
          <w:lang w:eastAsia="en-GB"/>
        </w:rPr>
        <w:t xml:space="preserve">the </w:t>
      </w:r>
      <w:r w:rsidRPr="003608BF">
        <w:rPr>
          <w:rFonts w:ascii="Arial" w:hAnsi="Arial" w:cs="Arial"/>
          <w:b/>
          <w:color w:val="000000"/>
          <w:lang w:eastAsia="en-GB"/>
        </w:rPr>
        <w:t xml:space="preserve">key themes </w:t>
      </w:r>
      <w:r>
        <w:rPr>
          <w:rFonts w:ascii="Arial" w:hAnsi="Arial" w:cs="Arial"/>
          <w:b/>
          <w:color w:val="000000"/>
          <w:lang w:eastAsia="en-GB"/>
        </w:rPr>
        <w:t>r</w:t>
      </w:r>
      <w:r w:rsidRPr="003608BF">
        <w:rPr>
          <w:rFonts w:ascii="Arial" w:hAnsi="Arial" w:cs="Arial"/>
          <w:b/>
          <w:color w:val="000000"/>
          <w:lang w:eastAsia="en-GB"/>
        </w:rPr>
        <w:t>esearch</w:t>
      </w:r>
      <w:r w:rsidR="000C7749">
        <w:rPr>
          <w:rFonts w:ascii="Arial" w:hAnsi="Arial" w:cs="Arial"/>
          <w:b/>
          <w:color w:val="000000"/>
          <w:lang w:eastAsia="en-GB"/>
        </w:rPr>
        <w:t xml:space="preserve">, </w:t>
      </w:r>
      <w:r w:rsidRPr="003608BF">
        <w:rPr>
          <w:rFonts w:ascii="Arial" w:hAnsi="Arial" w:cs="Arial"/>
          <w:b/>
          <w:color w:val="000000"/>
          <w:lang w:eastAsia="en-GB"/>
        </w:rPr>
        <w:t>good practice and innovation in commissioning</w:t>
      </w:r>
      <w:r>
        <w:rPr>
          <w:rFonts w:ascii="Arial" w:hAnsi="Arial" w:cs="Arial"/>
          <w:b/>
          <w:color w:val="000000"/>
          <w:lang w:eastAsia="en-GB"/>
        </w:rPr>
        <w:t xml:space="preserve"> and detai</w:t>
      </w:r>
      <w:r w:rsidR="000C7749">
        <w:rPr>
          <w:rFonts w:ascii="Arial" w:hAnsi="Arial" w:cs="Arial"/>
          <w:b/>
          <w:color w:val="000000"/>
          <w:lang w:eastAsia="en-GB"/>
        </w:rPr>
        <w:t xml:space="preserve">led </w:t>
      </w:r>
      <w:r>
        <w:rPr>
          <w:rFonts w:ascii="Arial" w:hAnsi="Arial" w:cs="Arial"/>
          <w:b/>
          <w:color w:val="000000"/>
          <w:lang w:eastAsia="en-GB"/>
        </w:rPr>
        <w:t>discussion of potential standards.</w:t>
      </w:r>
      <w:r w:rsidR="000C7749">
        <w:rPr>
          <w:rFonts w:ascii="Arial" w:hAnsi="Arial" w:cs="Arial"/>
          <w:b/>
          <w:color w:val="000000"/>
          <w:lang w:eastAsia="en-GB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2485"/>
        <w:gridCol w:w="2289"/>
      </w:tblGrid>
      <w:tr w:rsidR="000C7749" w:rsidTr="00953DBA">
        <w:trPr>
          <w:trHeight w:val="239"/>
        </w:trPr>
        <w:tc>
          <w:tcPr>
            <w:tcW w:w="4347" w:type="dxa"/>
          </w:tcPr>
          <w:p w:rsidR="000C7749" w:rsidRDefault="000C7749" w:rsidP="000C7749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:rsidR="000C7749" w:rsidRDefault="000C7749" w:rsidP="000C7749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</w:tcPr>
          <w:p w:rsidR="000C7749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C7749" w:rsidTr="00953DBA">
        <w:trPr>
          <w:trHeight w:val="508"/>
        </w:trPr>
        <w:tc>
          <w:tcPr>
            <w:tcW w:w="4347" w:type="dxa"/>
          </w:tcPr>
          <w:p w:rsidR="000C7749" w:rsidRDefault="000C7749" w:rsidP="000C7749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Prevention and social care</w:t>
            </w:r>
          </w:p>
          <w:p w:rsidR="000C7749" w:rsidRDefault="000C7749" w:rsidP="000C7749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:rsidR="000C7749" w:rsidRPr="00953DBA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  <w:r w:rsidRPr="00953DBA">
              <w:rPr>
                <w:rFonts w:ascii="Arial" w:hAnsi="Arial" w:cs="Arial"/>
                <w:b/>
                <w:color w:val="4F6228" w:themeColor="accent3" w:themeShade="80"/>
              </w:rPr>
              <w:t>Monday, June 9</w:t>
            </w:r>
            <w:r w:rsidRPr="00953DBA">
              <w:rPr>
                <w:rFonts w:ascii="Arial" w:hAnsi="Arial" w:cs="Arial"/>
                <w:b/>
                <w:color w:val="4F6228" w:themeColor="accent3" w:themeShade="80"/>
                <w:vertAlign w:val="superscript"/>
              </w:rPr>
              <w:t>th</w:t>
            </w:r>
            <w:r w:rsidRPr="00953DBA">
              <w:rPr>
                <w:rFonts w:ascii="Arial" w:hAnsi="Arial" w:cs="Arial"/>
                <w:b/>
                <w:color w:val="4F6228" w:themeColor="accent3" w:themeShade="80"/>
              </w:rPr>
              <w:t xml:space="preserve"> </w:t>
            </w:r>
          </w:p>
          <w:p w:rsidR="000C7749" w:rsidRPr="00953DBA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</w:p>
        </w:tc>
        <w:tc>
          <w:tcPr>
            <w:tcW w:w="2323" w:type="dxa"/>
          </w:tcPr>
          <w:p w:rsidR="000C7749" w:rsidRPr="00953DBA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  <w:r w:rsidRPr="00953DBA">
              <w:rPr>
                <w:rFonts w:ascii="Arial" w:hAnsi="Arial" w:cs="Arial"/>
                <w:b/>
                <w:color w:val="4F6228" w:themeColor="accent3" w:themeShade="80"/>
              </w:rPr>
              <w:t>Manchester</w:t>
            </w:r>
          </w:p>
        </w:tc>
      </w:tr>
      <w:tr w:rsidR="000C7749" w:rsidTr="00953DBA">
        <w:trPr>
          <w:trHeight w:val="508"/>
        </w:trPr>
        <w:tc>
          <w:tcPr>
            <w:tcW w:w="4347" w:type="dxa"/>
          </w:tcPr>
          <w:p w:rsidR="000C7749" w:rsidRDefault="000C7749" w:rsidP="000C7749">
            <w:pPr>
              <w:tabs>
                <w:tab w:val="left" w:pos="8115"/>
              </w:tabs>
              <w:rPr>
                <w:rFonts w:ascii="Arial" w:eastAsia="Arial" w:hAnsi="Arial" w:cs="Arial"/>
                <w:b/>
              </w:rPr>
            </w:pPr>
            <w:r w:rsidRPr="000C7749">
              <w:rPr>
                <w:rFonts w:ascii="Arial" w:eastAsia="Arial" w:hAnsi="Arial" w:cs="Arial"/>
                <w:b/>
              </w:rPr>
              <w:t>Co-production and personalisation</w:t>
            </w:r>
          </w:p>
          <w:p w:rsidR="000C7749" w:rsidRPr="000C7749" w:rsidRDefault="000C7749" w:rsidP="000C7749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:rsidR="000C7749" w:rsidRPr="00953DBA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  <w:r w:rsidRPr="00953DBA">
              <w:rPr>
                <w:rFonts w:ascii="Arial" w:hAnsi="Arial" w:cs="Arial"/>
                <w:b/>
                <w:color w:val="4F6228" w:themeColor="accent3" w:themeShade="80"/>
              </w:rPr>
              <w:t>Tuesday, June 10th</w:t>
            </w:r>
          </w:p>
        </w:tc>
        <w:tc>
          <w:tcPr>
            <w:tcW w:w="2323" w:type="dxa"/>
          </w:tcPr>
          <w:p w:rsidR="000C7749" w:rsidRPr="00953DBA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  <w:r w:rsidRPr="00953DBA">
              <w:rPr>
                <w:rFonts w:ascii="Arial" w:hAnsi="Arial" w:cs="Arial"/>
                <w:b/>
                <w:color w:val="4F6228" w:themeColor="accent3" w:themeShade="80"/>
              </w:rPr>
              <w:t>Leeds</w:t>
            </w:r>
          </w:p>
        </w:tc>
      </w:tr>
      <w:tr w:rsidR="000C7749" w:rsidTr="00953DBA">
        <w:trPr>
          <w:trHeight w:val="494"/>
        </w:trPr>
        <w:tc>
          <w:tcPr>
            <w:tcW w:w="4347" w:type="dxa"/>
          </w:tcPr>
          <w:p w:rsidR="000C7749" w:rsidRDefault="000C7749" w:rsidP="003608BF">
            <w:pPr>
              <w:tabs>
                <w:tab w:val="left" w:pos="8115"/>
              </w:tabs>
              <w:jc w:val="both"/>
              <w:rPr>
                <w:rFonts w:ascii="Arial" w:eastAsia="Arial" w:hAnsi="Arial" w:cs="Arial"/>
                <w:b/>
              </w:rPr>
            </w:pPr>
            <w:r w:rsidRPr="000C7749">
              <w:rPr>
                <w:rFonts w:ascii="Arial" w:eastAsia="Arial" w:hAnsi="Arial" w:cs="Arial"/>
                <w:b/>
              </w:rPr>
              <w:t>Market development</w:t>
            </w:r>
          </w:p>
          <w:p w:rsidR="000C7749" w:rsidRPr="000C7749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:rsidR="000C7749" w:rsidRPr="00953DBA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  <w:r w:rsidRPr="00953DBA">
              <w:rPr>
                <w:rFonts w:ascii="Arial" w:hAnsi="Arial" w:cs="Arial"/>
                <w:b/>
                <w:color w:val="4F6228" w:themeColor="accent3" w:themeShade="80"/>
              </w:rPr>
              <w:t>Friday, June 20th</w:t>
            </w:r>
          </w:p>
        </w:tc>
        <w:tc>
          <w:tcPr>
            <w:tcW w:w="2323" w:type="dxa"/>
          </w:tcPr>
          <w:p w:rsidR="000C7749" w:rsidRPr="00953DBA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  <w:r w:rsidRPr="00953DBA">
              <w:rPr>
                <w:rFonts w:ascii="Arial" w:hAnsi="Arial" w:cs="Arial"/>
                <w:b/>
                <w:color w:val="4F6228" w:themeColor="accent3" w:themeShade="80"/>
              </w:rPr>
              <w:t>Birmingham</w:t>
            </w:r>
          </w:p>
        </w:tc>
      </w:tr>
      <w:tr w:rsidR="000C7749" w:rsidTr="00953DBA">
        <w:trPr>
          <w:trHeight w:val="255"/>
        </w:trPr>
        <w:tc>
          <w:tcPr>
            <w:tcW w:w="4347" w:type="dxa"/>
          </w:tcPr>
          <w:p w:rsidR="000C7749" w:rsidRPr="000C7749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</w:rPr>
            </w:pPr>
            <w:r w:rsidRPr="000C7749">
              <w:rPr>
                <w:rFonts w:ascii="Arial" w:eastAsia="Arial" w:hAnsi="Arial" w:cs="Arial"/>
                <w:b/>
              </w:rPr>
              <w:t>Outcomes-based commissioning</w:t>
            </w:r>
          </w:p>
        </w:tc>
        <w:tc>
          <w:tcPr>
            <w:tcW w:w="2543" w:type="dxa"/>
          </w:tcPr>
          <w:p w:rsidR="000C7749" w:rsidRPr="00953DBA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  <w:r w:rsidRPr="00953DBA">
              <w:rPr>
                <w:rFonts w:ascii="Arial" w:hAnsi="Arial" w:cs="Arial"/>
                <w:b/>
                <w:color w:val="4F6228" w:themeColor="accent3" w:themeShade="80"/>
              </w:rPr>
              <w:t>Monday, June 30th</w:t>
            </w:r>
          </w:p>
        </w:tc>
        <w:tc>
          <w:tcPr>
            <w:tcW w:w="2323" w:type="dxa"/>
          </w:tcPr>
          <w:p w:rsidR="000C7749" w:rsidRPr="00953DBA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  <w:r w:rsidRPr="00953DBA">
              <w:rPr>
                <w:rFonts w:ascii="Arial" w:hAnsi="Arial" w:cs="Arial"/>
                <w:b/>
                <w:color w:val="4F6228" w:themeColor="accent3" w:themeShade="80"/>
              </w:rPr>
              <w:t>Bristol</w:t>
            </w:r>
          </w:p>
        </w:tc>
      </w:tr>
      <w:tr w:rsidR="000C7749" w:rsidTr="00953DBA">
        <w:trPr>
          <w:trHeight w:val="761"/>
        </w:trPr>
        <w:tc>
          <w:tcPr>
            <w:tcW w:w="4347" w:type="dxa"/>
          </w:tcPr>
          <w:p w:rsidR="000C7749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</w:rPr>
            </w:pPr>
          </w:p>
          <w:p w:rsidR="000C7749" w:rsidRDefault="000C7749" w:rsidP="00953DBA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Workforce </w:t>
            </w:r>
            <w:r w:rsidR="00953DBA">
              <w:rPr>
                <w:rFonts w:ascii="Arial" w:hAnsi="Arial" w:cs="Arial"/>
                <w:b/>
              </w:rPr>
              <w:t xml:space="preserve">and organisational </w:t>
            </w:r>
            <w:r>
              <w:rPr>
                <w:rFonts w:ascii="Arial" w:hAnsi="Arial" w:cs="Arial"/>
                <w:b/>
              </w:rPr>
              <w:t xml:space="preserve">development </w:t>
            </w:r>
          </w:p>
        </w:tc>
        <w:tc>
          <w:tcPr>
            <w:tcW w:w="2543" w:type="dxa"/>
          </w:tcPr>
          <w:p w:rsidR="000C7749" w:rsidRPr="00953DBA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</w:p>
          <w:p w:rsidR="000C7749" w:rsidRPr="00953DBA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  <w:r w:rsidRPr="00953DBA">
              <w:rPr>
                <w:rFonts w:ascii="Arial" w:hAnsi="Arial" w:cs="Arial"/>
                <w:b/>
                <w:color w:val="4F6228" w:themeColor="accent3" w:themeShade="80"/>
              </w:rPr>
              <w:t>Monday, July 14th</w:t>
            </w:r>
          </w:p>
        </w:tc>
        <w:tc>
          <w:tcPr>
            <w:tcW w:w="2323" w:type="dxa"/>
          </w:tcPr>
          <w:p w:rsidR="000C7749" w:rsidRPr="00953DBA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</w:p>
          <w:p w:rsidR="000C7749" w:rsidRPr="00953DBA" w:rsidRDefault="000C7749" w:rsidP="003608BF">
            <w:pPr>
              <w:tabs>
                <w:tab w:val="left" w:pos="8115"/>
              </w:tabs>
              <w:jc w:val="both"/>
              <w:rPr>
                <w:rFonts w:ascii="Arial" w:hAnsi="Arial" w:cs="Arial"/>
                <w:b/>
                <w:color w:val="4F6228" w:themeColor="accent3" w:themeShade="80"/>
              </w:rPr>
            </w:pPr>
            <w:r w:rsidRPr="00953DBA">
              <w:rPr>
                <w:rFonts w:ascii="Arial" w:hAnsi="Arial" w:cs="Arial"/>
                <w:b/>
                <w:color w:val="4F6228" w:themeColor="accent3" w:themeShade="80"/>
              </w:rPr>
              <w:t>London</w:t>
            </w:r>
          </w:p>
        </w:tc>
      </w:tr>
    </w:tbl>
    <w:p w:rsidR="00953DBA" w:rsidRPr="00953DBA" w:rsidRDefault="003608BF" w:rsidP="00E076B7">
      <w:pPr>
        <w:tabs>
          <w:tab w:val="left" w:pos="8115"/>
        </w:tabs>
        <w:spacing w:before="240"/>
        <w:jc w:val="both"/>
        <w:rPr>
          <w:rFonts w:ascii="Arial" w:hAnsi="Arial" w:cs="Arial"/>
          <w:color w:val="000000"/>
        </w:rPr>
      </w:pPr>
      <w:r w:rsidRPr="003608BF">
        <w:rPr>
          <w:rFonts w:ascii="Arial" w:hAnsi="Arial" w:cs="Arial"/>
          <w:b/>
        </w:rPr>
        <w:t xml:space="preserve">This is your opportunity to hear the latest and contribute to develop commissioning standards for Local Authorities, and their partners, </w:t>
      </w:r>
      <w:r w:rsidRPr="003608BF">
        <w:rPr>
          <w:rFonts w:ascii="Arial" w:hAnsi="Arial" w:cs="Arial"/>
          <w:b/>
          <w:lang w:eastAsia="en-GB"/>
        </w:rPr>
        <w:t>in order to deliver better outcomes for people requiring social care</w:t>
      </w:r>
      <w:r w:rsidRPr="003608BF">
        <w:rPr>
          <w:rFonts w:ascii="Arial" w:hAnsi="Arial" w:cs="Arial"/>
          <w:b/>
        </w:rPr>
        <w:t>.</w:t>
      </w:r>
      <w:r w:rsidR="000C7749">
        <w:rPr>
          <w:rFonts w:ascii="Arial" w:hAnsi="Arial" w:cs="Arial"/>
          <w:b/>
        </w:rPr>
        <w:t xml:space="preserve"> </w:t>
      </w:r>
      <w:r w:rsidR="000C7749" w:rsidRPr="000C7749">
        <w:rPr>
          <w:rFonts w:ascii="Arial" w:hAnsi="Arial" w:cs="Arial"/>
          <w:b/>
          <w:color w:val="000000"/>
        </w:rPr>
        <w:t>Further information about the project is available on the LGA website</w:t>
      </w:r>
      <w:r w:rsidR="00953DBA">
        <w:rPr>
          <w:rFonts w:ascii="Arial" w:hAnsi="Arial" w:cs="Arial"/>
          <w:b/>
          <w:color w:val="000000"/>
        </w:rPr>
        <w:t xml:space="preserve"> and from Dr Karen Newbigging </w:t>
      </w:r>
      <w:hyperlink r:id="rId13" w:history="1">
        <w:r w:rsidR="00953DBA" w:rsidRPr="00953DBA">
          <w:rPr>
            <w:rStyle w:val="Hyperlink"/>
            <w:rFonts w:ascii="Arial" w:hAnsi="Arial" w:cs="Arial"/>
          </w:rPr>
          <w:t>k.v.newbigging@bham.ac.uk</w:t>
        </w:r>
      </w:hyperlink>
    </w:p>
    <w:p w:rsidR="00B66BA0" w:rsidRDefault="000C7749" w:rsidP="00B66BA0">
      <w:pPr>
        <w:tabs>
          <w:tab w:val="left" w:pos="8115"/>
        </w:tabs>
        <w:jc w:val="both"/>
        <w:rPr>
          <w:rFonts w:ascii="Arial" w:hAnsi="Arial" w:cs="Arial"/>
          <w:color w:val="000000"/>
        </w:rPr>
      </w:pPr>
      <w:r w:rsidRPr="00B66BA0">
        <w:rPr>
          <w:rFonts w:ascii="Arial" w:hAnsi="Arial" w:cs="Arial"/>
          <w:b/>
          <w:color w:val="000000"/>
          <w:lang w:eastAsia="en-GB"/>
        </w:rPr>
        <w:t>These events are free</w:t>
      </w:r>
      <w:r w:rsidR="00E076B7" w:rsidRPr="00B66BA0">
        <w:rPr>
          <w:rFonts w:ascii="Arial" w:hAnsi="Arial" w:cs="Arial"/>
          <w:b/>
          <w:color w:val="000000"/>
          <w:lang w:eastAsia="en-GB"/>
        </w:rPr>
        <w:t xml:space="preserve"> -</w:t>
      </w:r>
      <w:r w:rsidRPr="00B66BA0">
        <w:rPr>
          <w:rFonts w:ascii="Arial" w:hAnsi="Arial" w:cs="Arial"/>
          <w:b/>
          <w:color w:val="000000"/>
          <w:lang w:eastAsia="en-GB"/>
        </w:rPr>
        <w:t xml:space="preserve"> open to </w:t>
      </w:r>
      <w:r w:rsidRPr="00B66BA0">
        <w:rPr>
          <w:rFonts w:ascii="Arial" w:hAnsi="Arial" w:cs="Arial"/>
          <w:b/>
        </w:rPr>
        <w:t xml:space="preserve">commissioners, </w:t>
      </w:r>
      <w:r w:rsidR="003025BE" w:rsidRPr="00B66BA0">
        <w:rPr>
          <w:rFonts w:ascii="Arial" w:hAnsi="Arial" w:cs="Arial"/>
          <w:b/>
        </w:rPr>
        <w:t xml:space="preserve">social care </w:t>
      </w:r>
      <w:r w:rsidRPr="00B66BA0">
        <w:rPr>
          <w:rFonts w:ascii="Arial" w:hAnsi="Arial" w:cs="Arial"/>
          <w:b/>
        </w:rPr>
        <w:t>providers</w:t>
      </w:r>
      <w:r w:rsidR="003025BE" w:rsidRPr="00B66BA0">
        <w:rPr>
          <w:rFonts w:ascii="Arial" w:hAnsi="Arial" w:cs="Arial"/>
          <w:b/>
        </w:rPr>
        <w:t>,</w:t>
      </w:r>
      <w:r w:rsidRPr="00B66BA0">
        <w:rPr>
          <w:rFonts w:ascii="Arial" w:hAnsi="Arial" w:cs="Arial"/>
          <w:b/>
        </w:rPr>
        <w:t xml:space="preserve"> service users, carers and other key </w:t>
      </w:r>
      <w:r w:rsidR="003025BE" w:rsidRPr="00B66BA0">
        <w:rPr>
          <w:rFonts w:ascii="Arial" w:hAnsi="Arial" w:cs="Arial"/>
          <w:b/>
        </w:rPr>
        <w:t>players with a commitment to improving social care outcomes.</w:t>
      </w:r>
      <w:r w:rsidRPr="00B66BA0">
        <w:rPr>
          <w:rFonts w:ascii="Arial" w:hAnsi="Arial" w:cs="Arial"/>
          <w:b/>
        </w:rPr>
        <w:t xml:space="preserve"> </w:t>
      </w:r>
    </w:p>
    <w:p w:rsidR="00B66BA0" w:rsidRDefault="00E076B7" w:rsidP="000C7749">
      <w:pPr>
        <w:tabs>
          <w:tab w:val="left" w:pos="8115"/>
        </w:tabs>
        <w:jc w:val="both"/>
        <w:rPr>
          <w:rFonts w:ascii="Arial" w:hAnsi="Arial" w:cs="Arial"/>
          <w:b/>
        </w:rPr>
      </w:pPr>
      <w:r w:rsidRPr="00B66BA0">
        <w:rPr>
          <w:rFonts w:ascii="Arial" w:hAnsi="Arial" w:cs="Arial"/>
          <w:b/>
        </w:rPr>
        <w:t xml:space="preserve">There are a limited number of places to enable detailed discussions of the key issues, </w:t>
      </w:r>
      <w:r w:rsidR="00B66BA0">
        <w:rPr>
          <w:rFonts w:ascii="Arial" w:hAnsi="Arial" w:cs="Arial"/>
          <w:b/>
        </w:rPr>
        <w:t>so book early.</w:t>
      </w:r>
    </w:p>
    <w:p w:rsidR="00EB7D26" w:rsidRDefault="00B66BA0" w:rsidP="000C7749">
      <w:pPr>
        <w:tabs>
          <w:tab w:val="left" w:pos="8115"/>
        </w:tabs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  <w:b/>
        </w:rPr>
        <w:t>For more information and</w:t>
      </w:r>
      <w:r w:rsidR="00B44C50">
        <w:rPr>
          <w:rFonts w:ascii="Arial" w:hAnsi="Arial" w:cs="Arial"/>
          <w:b/>
        </w:rPr>
        <w:t xml:space="preserve"> to book your place email Bal</w:t>
      </w:r>
      <w:r>
        <w:rPr>
          <w:rFonts w:ascii="Arial" w:hAnsi="Arial" w:cs="Arial"/>
          <w:b/>
        </w:rPr>
        <w:t xml:space="preserve"> Loyal </w:t>
      </w:r>
      <w:hyperlink r:id="rId14" w:tgtFrame="_blank" w:history="1">
        <w:r>
          <w:rPr>
            <w:rStyle w:val="Hyperlink"/>
            <w:rFonts w:ascii="Arial" w:hAnsi="Arial" w:cs="Arial"/>
          </w:rPr>
          <w:t>b.k.loyal@bham.ac.uk</w:t>
        </w:r>
      </w:hyperlink>
      <w:r w:rsidR="00B44C50">
        <w:rPr>
          <w:rStyle w:val="Hyperlink"/>
          <w:rFonts w:ascii="Arial" w:hAnsi="Arial" w:cs="Arial"/>
        </w:rPr>
        <w:t xml:space="preserve">  </w:t>
      </w:r>
    </w:p>
    <w:p w:rsidR="006526F7" w:rsidRDefault="00307AED" w:rsidP="000C7749">
      <w:pPr>
        <w:tabs>
          <w:tab w:val="left" w:pos="8115"/>
        </w:tabs>
        <w:jc w:val="both"/>
        <w:rPr>
          <w:rFonts w:ascii="Arial" w:eastAsia="Calibri" w:hAnsi="Arial" w:cs="Arial"/>
          <w:noProof/>
          <w:color w:val="000000"/>
          <w:sz w:val="20"/>
          <w:szCs w:val="20"/>
          <w:lang w:eastAsia="en-GB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1249A6E9" wp14:editId="2E94FEB4">
            <wp:extent cx="1190625" cy="581249"/>
            <wp:effectExtent l="0" t="0" r="0" b="9525"/>
            <wp:docPr id="6" name="Picture 6" descr="Local Government Associati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 Government Associati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33" cy="58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6F7">
        <w:rPr>
          <w:rFonts w:ascii="Arial" w:eastAsia="Calibri" w:hAnsi="Arial" w:cs="Arial"/>
          <w:noProof/>
          <w:color w:val="000000"/>
          <w:sz w:val="20"/>
          <w:szCs w:val="20"/>
          <w:lang w:eastAsia="en-GB"/>
        </w:rPr>
        <w:t xml:space="preserve">    </w:t>
      </w:r>
      <w:r w:rsidR="00EB7D26">
        <w:rPr>
          <w:rFonts w:ascii="Arial" w:eastAsia="Calibri" w:hAnsi="Arial" w:cs="Arial"/>
          <w:noProof/>
          <w:color w:val="000000"/>
          <w:sz w:val="20"/>
          <w:szCs w:val="20"/>
          <w:lang w:eastAsia="en-GB"/>
        </w:rPr>
        <w:t xml:space="preserve">     </w:t>
      </w:r>
      <w:r w:rsidR="006526F7">
        <w:rPr>
          <w:rFonts w:ascii="Arial" w:eastAsia="Calibri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6370BFCD" wp14:editId="777B02CC">
            <wp:extent cx="1357906" cy="377306"/>
            <wp:effectExtent l="0" t="0" r="0" b="3810"/>
            <wp:docPr id="4" name="Picture 4" descr="C:\Users\loyalbk\AppData\Local\Microsoft\Windows\Temporary Internet Files\Content.Outlook\P0RFU78P\TLAPweb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yalbk\AppData\Local\Microsoft\Windows\Temporary Internet Files\Content.Outlook\P0RFU78P\TLAPwebwor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06" cy="3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12D" w:rsidRPr="00BF783F">
        <w:rPr>
          <w:rFonts w:ascii="Arial" w:eastAsia="Calibri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1A6F198E" wp14:editId="33341A8E">
            <wp:extent cx="1485900" cy="646483"/>
            <wp:effectExtent l="0" t="0" r="0" b="0"/>
            <wp:docPr id="7" name="Picture 7" descr="wordmarque_burgu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marque_burgundy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06" cy="65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D26">
        <w:rPr>
          <w:rFonts w:ascii="Arial" w:eastAsia="Calibri" w:hAnsi="Arial" w:cs="Arial"/>
          <w:noProof/>
          <w:color w:val="000000"/>
          <w:sz w:val="20"/>
          <w:szCs w:val="20"/>
          <w:lang w:eastAsia="en-GB"/>
        </w:rPr>
        <w:t xml:space="preserve">  </w:t>
      </w:r>
      <w:r w:rsidR="001E512D">
        <w:rPr>
          <w:noProof/>
          <w:lang w:eastAsia="en-GB"/>
        </w:rPr>
        <w:drawing>
          <wp:inline distT="0" distB="0" distL="0" distR="0" wp14:anchorId="70EB7560" wp14:editId="1402E222">
            <wp:extent cx="1085850" cy="692151"/>
            <wp:effectExtent l="0" t="0" r="0" b="0"/>
            <wp:docPr id="1" name="Picture 1" descr="http://www.careindustrynews.co.uk/wp-content/uploads/2012/06/ADASS-Care-Industry-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eindustrynews.co.uk/wp-content/uploads/2012/06/ADASS-Care-Industry-New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50" cy="69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D26">
        <w:rPr>
          <w:rFonts w:ascii="Arial" w:eastAsia="Calibri" w:hAnsi="Arial" w:cs="Arial"/>
          <w:noProof/>
          <w:color w:val="000000"/>
          <w:sz w:val="20"/>
          <w:szCs w:val="20"/>
          <w:lang w:eastAsia="en-GB"/>
        </w:rPr>
        <w:t xml:space="preserve">    </w:t>
      </w:r>
      <w:r w:rsidR="00B44C50">
        <w:rPr>
          <w:rFonts w:ascii="Arial" w:eastAsia="Calibri" w:hAnsi="Arial" w:cs="Arial"/>
          <w:noProof/>
          <w:color w:val="000000"/>
          <w:sz w:val="20"/>
          <w:szCs w:val="20"/>
          <w:lang w:eastAsia="en-GB"/>
        </w:rPr>
        <w:t xml:space="preserve">   </w:t>
      </w:r>
    </w:p>
    <w:p w:rsidR="006526F7" w:rsidRDefault="006526F7" w:rsidP="000C7749">
      <w:pPr>
        <w:tabs>
          <w:tab w:val="left" w:pos="8115"/>
        </w:tabs>
        <w:jc w:val="both"/>
        <w:rPr>
          <w:rFonts w:ascii="Arial" w:eastAsia="Calibri" w:hAnsi="Arial" w:cs="Arial"/>
          <w:noProof/>
          <w:color w:val="000000"/>
          <w:sz w:val="20"/>
          <w:szCs w:val="20"/>
          <w:lang w:eastAsia="en-GB"/>
        </w:rPr>
      </w:pPr>
    </w:p>
    <w:p w:rsidR="00AF7B02" w:rsidRPr="00B05BC1" w:rsidRDefault="00B05BC1" w:rsidP="00B05BC1">
      <w:pPr>
        <w:spacing w:after="0" w:line="24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 </w:t>
      </w:r>
    </w:p>
    <w:sectPr w:rsidR="00AF7B02" w:rsidRPr="00B05BC1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BA" w:rsidRDefault="00F959BA" w:rsidP="00F959BA">
      <w:pPr>
        <w:spacing w:after="0" w:line="240" w:lineRule="auto"/>
      </w:pPr>
      <w:r>
        <w:separator/>
      </w:r>
    </w:p>
  </w:endnote>
  <w:endnote w:type="continuationSeparator" w:id="0">
    <w:p w:rsidR="00F959BA" w:rsidRDefault="00F959BA" w:rsidP="00F9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">
    <w:altName w:val="Synt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512"/>
      <w:gridCol w:w="4514"/>
    </w:tblGrid>
    <w:tr w:rsidR="005D7F5C" w:rsidRPr="005D7F5C" w:rsidTr="008C2E20">
      <w:tc>
        <w:tcPr>
          <w:tcW w:w="4621" w:type="dxa"/>
        </w:tcPr>
        <w:p w:rsidR="005D7F5C" w:rsidRPr="00B66BA0" w:rsidRDefault="005D7F5C" w:rsidP="008C2E20">
          <w:pPr>
            <w:spacing w:after="0" w:line="240" w:lineRule="auto"/>
            <w:rPr>
              <w:rFonts w:ascii="Arial" w:hAnsi="Arial" w:cs="Arial"/>
              <w:b/>
              <w:color w:val="1F497D" w:themeColor="text2"/>
            </w:rPr>
          </w:pPr>
          <w:r w:rsidRPr="00B66BA0">
            <w:rPr>
              <w:rFonts w:ascii="Arial" w:hAnsi="Arial" w:cs="Arial"/>
              <w:b/>
              <w:color w:val="1F497D" w:themeColor="text2"/>
              <w:kern w:val="36"/>
              <w:sz w:val="24"/>
              <w:szCs w:val="42"/>
            </w:rPr>
            <w:t>Institute of Local Government Studies (INLOGOV)</w:t>
          </w:r>
        </w:p>
      </w:tc>
      <w:tc>
        <w:tcPr>
          <w:tcW w:w="4621" w:type="dxa"/>
        </w:tcPr>
        <w:p w:rsidR="005D7F5C" w:rsidRPr="00B66BA0" w:rsidRDefault="005D7F5C" w:rsidP="008C2E20">
          <w:pPr>
            <w:spacing w:after="0" w:line="240" w:lineRule="auto"/>
            <w:jc w:val="right"/>
            <w:rPr>
              <w:rFonts w:ascii="Arial" w:hAnsi="Arial" w:cs="Arial"/>
              <w:b/>
              <w:color w:val="1F497D" w:themeColor="text2"/>
            </w:rPr>
          </w:pPr>
          <w:r w:rsidRPr="00B66BA0">
            <w:rPr>
              <w:rFonts w:ascii="Arial" w:hAnsi="Arial" w:cs="Arial"/>
              <w:b/>
              <w:color w:val="1F497D" w:themeColor="text2"/>
              <w:kern w:val="36"/>
              <w:sz w:val="24"/>
              <w:szCs w:val="42"/>
            </w:rPr>
            <w:t>Health Services Management Centre (HSMC)</w:t>
          </w:r>
        </w:p>
      </w:tc>
    </w:tr>
  </w:tbl>
  <w:p w:rsidR="005D7F5C" w:rsidRPr="005D7F5C" w:rsidRDefault="005D7F5C" w:rsidP="005D7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BA" w:rsidRDefault="00F959BA" w:rsidP="00F959BA">
      <w:pPr>
        <w:spacing w:after="0" w:line="240" w:lineRule="auto"/>
      </w:pPr>
      <w:r>
        <w:separator/>
      </w:r>
    </w:p>
  </w:footnote>
  <w:footnote w:type="continuationSeparator" w:id="0">
    <w:p w:rsidR="00F959BA" w:rsidRDefault="00F959BA" w:rsidP="00F9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itleChar"/>
        <w:b/>
        <w:caps/>
        <w:color w:val="417335"/>
        <w:spacing w:val="0"/>
        <w:sz w:val="56"/>
        <w:szCs w:val="56"/>
        <w14:textOutline w14:w="449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alias w:val="Title"/>
      <w:id w:val="536411716"/>
      <w:placeholder>
        <w:docPart w:val="B0752E0C198E4C8F8B93186E772F89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TitleChar"/>
      </w:rPr>
    </w:sdtEndPr>
    <w:sdtContent>
      <w:p w:rsidR="00E11214" w:rsidRPr="00E11214" w:rsidRDefault="00B66BA0" w:rsidP="00E11214">
        <w:pPr>
          <w:pStyle w:val="Header"/>
          <w:jc w:val="center"/>
          <w:rPr>
            <w:rStyle w:val="TitleChar"/>
            <w:b/>
            <w:caps/>
            <w:color w:val="417335"/>
            <w:sz w:val="56"/>
            <w:szCs w:val="56"/>
            <w14:textOutline w14:w="4495" w14:cap="flat" w14:cmpd="sng" w14:algn="ctr">
              <w14:solidFill>
                <w14:schemeClr w14:val="accent3">
                  <w14:lumMod w14:val="50000"/>
                </w14:schemeClr>
              </w14:solidFill>
              <w14:prstDash w14:val="solid"/>
              <w14:round/>
            </w14:textOutline>
          </w:rPr>
        </w:pPr>
        <w:r>
          <w:rPr>
            <w:rStyle w:val="TitleChar"/>
            <w:b/>
            <w:caps/>
            <w:color w:val="417335"/>
            <w:spacing w:val="0"/>
            <w:sz w:val="56"/>
            <w:szCs w:val="56"/>
            <w14:textOutline w14:w="4495" w14:cap="flat" w14:cmpd="sng" w14:algn="ctr">
              <w14:solidFill>
                <w14:schemeClr w14:val="accent3">
                  <w14:lumMod w14:val="50000"/>
                </w14:schemeClr>
              </w14:solidFill>
              <w14:prstDash w14:val="solid"/>
              <w14:round/>
            </w14:textOutline>
          </w:rPr>
          <w:t>C</w:t>
        </w:r>
        <w:r w:rsidR="00E11214" w:rsidRPr="00E11214">
          <w:rPr>
            <w:rStyle w:val="TitleChar"/>
            <w:b/>
            <w:caps/>
            <w:color w:val="417335"/>
            <w:spacing w:val="0"/>
            <w:sz w:val="56"/>
            <w:szCs w:val="56"/>
            <w14:textOutline w14:w="4495" w14:cap="flat" w14:cmpd="sng" w14:algn="ctr">
              <w14:solidFill>
                <w14:schemeClr w14:val="accent3">
                  <w14:lumMod w14:val="50000"/>
                </w14:schemeClr>
              </w14:solidFill>
              <w14:prstDash w14:val="solid"/>
              <w14:round/>
            </w14:textOutline>
          </w:rPr>
          <w:t>ommissioning for Better Outcomes in Adult Social care</w:t>
        </w:r>
      </w:p>
    </w:sdtContent>
  </w:sdt>
  <w:p w:rsidR="00BF783F" w:rsidRDefault="00BF783F" w:rsidP="00BF7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06D3B"/>
    <w:multiLevelType w:val="hybridMultilevel"/>
    <w:tmpl w:val="61A8C42A"/>
    <w:lvl w:ilvl="0" w:tplc="6E3C5C2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21B8"/>
    <w:multiLevelType w:val="hybridMultilevel"/>
    <w:tmpl w:val="900A55C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312533"/>
    <w:multiLevelType w:val="hybridMultilevel"/>
    <w:tmpl w:val="751655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7033A"/>
    <w:multiLevelType w:val="hybridMultilevel"/>
    <w:tmpl w:val="F2C88086"/>
    <w:lvl w:ilvl="0" w:tplc="1A0ED8E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51365"/>
    <w:multiLevelType w:val="hybridMultilevel"/>
    <w:tmpl w:val="348E7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41628"/>
    <w:multiLevelType w:val="hybridMultilevel"/>
    <w:tmpl w:val="425629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BA"/>
    <w:rsid w:val="00017289"/>
    <w:rsid w:val="00047658"/>
    <w:rsid w:val="00094D1D"/>
    <w:rsid w:val="000C7749"/>
    <w:rsid w:val="0011498E"/>
    <w:rsid w:val="00156A84"/>
    <w:rsid w:val="00162D13"/>
    <w:rsid w:val="0017284C"/>
    <w:rsid w:val="001E512D"/>
    <w:rsid w:val="00212A91"/>
    <w:rsid w:val="00236821"/>
    <w:rsid w:val="00290F17"/>
    <w:rsid w:val="003025BE"/>
    <w:rsid w:val="00307AED"/>
    <w:rsid w:val="00327889"/>
    <w:rsid w:val="00332B31"/>
    <w:rsid w:val="00344C3E"/>
    <w:rsid w:val="003608BF"/>
    <w:rsid w:val="00363762"/>
    <w:rsid w:val="00375C29"/>
    <w:rsid w:val="0038427D"/>
    <w:rsid w:val="00422A3D"/>
    <w:rsid w:val="00425286"/>
    <w:rsid w:val="00440FC7"/>
    <w:rsid w:val="0049529A"/>
    <w:rsid w:val="004A1854"/>
    <w:rsid w:val="004B497D"/>
    <w:rsid w:val="004B7560"/>
    <w:rsid w:val="004D32C4"/>
    <w:rsid w:val="004E3301"/>
    <w:rsid w:val="004F0DCF"/>
    <w:rsid w:val="004F7A90"/>
    <w:rsid w:val="00567137"/>
    <w:rsid w:val="005D7F5C"/>
    <w:rsid w:val="005F0EC8"/>
    <w:rsid w:val="006526F7"/>
    <w:rsid w:val="006A26AD"/>
    <w:rsid w:val="006E6441"/>
    <w:rsid w:val="00706741"/>
    <w:rsid w:val="007219F4"/>
    <w:rsid w:val="00751C1B"/>
    <w:rsid w:val="007779EF"/>
    <w:rsid w:val="007936B5"/>
    <w:rsid w:val="007E4776"/>
    <w:rsid w:val="00825770"/>
    <w:rsid w:val="008E252F"/>
    <w:rsid w:val="008F46BE"/>
    <w:rsid w:val="009153A7"/>
    <w:rsid w:val="00953DBA"/>
    <w:rsid w:val="00972EA7"/>
    <w:rsid w:val="00974DEB"/>
    <w:rsid w:val="00982CC1"/>
    <w:rsid w:val="00A92B8D"/>
    <w:rsid w:val="00A95165"/>
    <w:rsid w:val="00AB0CB5"/>
    <w:rsid w:val="00AF7B02"/>
    <w:rsid w:val="00B05BC1"/>
    <w:rsid w:val="00B06550"/>
    <w:rsid w:val="00B169FF"/>
    <w:rsid w:val="00B26890"/>
    <w:rsid w:val="00B44C50"/>
    <w:rsid w:val="00B53A26"/>
    <w:rsid w:val="00B66BA0"/>
    <w:rsid w:val="00BA5649"/>
    <w:rsid w:val="00BA6339"/>
    <w:rsid w:val="00BC6278"/>
    <w:rsid w:val="00BF783F"/>
    <w:rsid w:val="00C31B61"/>
    <w:rsid w:val="00C50DDC"/>
    <w:rsid w:val="00C736E8"/>
    <w:rsid w:val="00C9175A"/>
    <w:rsid w:val="00CA6399"/>
    <w:rsid w:val="00D53B68"/>
    <w:rsid w:val="00E076B7"/>
    <w:rsid w:val="00E11214"/>
    <w:rsid w:val="00E2536D"/>
    <w:rsid w:val="00E60A27"/>
    <w:rsid w:val="00E70D67"/>
    <w:rsid w:val="00E85568"/>
    <w:rsid w:val="00EB7D26"/>
    <w:rsid w:val="00F24A80"/>
    <w:rsid w:val="00F6108F"/>
    <w:rsid w:val="00F83E54"/>
    <w:rsid w:val="00F959BA"/>
    <w:rsid w:val="00FB6B56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1654324-7E3E-4216-8D66-FFCA7AEC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Document,Doc,Body Text2,doc,Standard paragraph,1body,BodText,bt,body text,Body Txt,Body Text-10,Text,Τίτλος Μελέτης,- TF,BodyText, (Norm),Body Text 12,gl,uvlaka 2,(Norm),heading3,Body Text - Level 2"/>
    <w:basedOn w:val="Normal"/>
    <w:link w:val="BodyTextChar"/>
    <w:rsid w:val="00F95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Document Char,Doc Char,Body Text2 Char,doc Char,Standard paragraph Char,1body Char,BodText Char,bt Char,body text Char,Body Txt Char,Body Text-10 Char,Text Char,Τίτλος Μελέτης Char,- TF Char,BodyText Char, (Norm) Char,Body Text 12 Char"/>
    <w:basedOn w:val="DefaultParagraphFont"/>
    <w:link w:val="BodyText"/>
    <w:rsid w:val="00F959B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F959BA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59BA"/>
    <w:rPr>
      <w:rFonts w:ascii="Times New Roman" w:eastAsia="Times New Roman" w:hAnsi="Times New Roman" w:cs="Times New Roman"/>
      <w:bCs/>
      <w:szCs w:val="20"/>
    </w:rPr>
  </w:style>
  <w:style w:type="character" w:styleId="FootnoteReference">
    <w:name w:val="footnote reference"/>
    <w:basedOn w:val="DefaultParagraphFont"/>
    <w:uiPriority w:val="99"/>
    <w:rsid w:val="00F959BA"/>
    <w:rPr>
      <w:vertAlign w:val="superscript"/>
    </w:rPr>
  </w:style>
  <w:style w:type="paragraph" w:customStyle="1" w:styleId="Default">
    <w:name w:val="Default"/>
    <w:rsid w:val="00F959BA"/>
    <w:pPr>
      <w:autoSpaceDE w:val="0"/>
      <w:autoSpaceDN w:val="0"/>
      <w:adjustRightInd w:val="0"/>
      <w:spacing w:after="0" w:line="240" w:lineRule="auto"/>
    </w:pPr>
    <w:rPr>
      <w:rFonts w:ascii="Syntax" w:eastAsia="Times New Roman" w:hAnsi="Syntax" w:cs="Syntax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59BA"/>
    <w:pPr>
      <w:ind w:left="720"/>
      <w:contextualSpacing/>
    </w:pPr>
  </w:style>
  <w:style w:type="paragraph" w:customStyle="1" w:styleId="TSRCheading2">
    <w:name w:val="TSRC heading 2"/>
    <w:basedOn w:val="Normal"/>
    <w:uiPriority w:val="99"/>
    <w:rsid w:val="00751C1B"/>
    <w:pPr>
      <w:keepNext/>
      <w:spacing w:before="100" w:after="40" w:line="360" w:lineRule="auto"/>
      <w:jc w:val="both"/>
    </w:pPr>
    <w:rPr>
      <w:rFonts w:ascii="Arial" w:hAnsi="Arial" w:cs="Arial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71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76"/>
  </w:style>
  <w:style w:type="paragraph" w:styleId="Footer">
    <w:name w:val="footer"/>
    <w:basedOn w:val="Normal"/>
    <w:link w:val="FooterChar"/>
    <w:uiPriority w:val="99"/>
    <w:unhideWhenUsed/>
    <w:rsid w:val="007E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76"/>
  </w:style>
  <w:style w:type="paragraph" w:styleId="BalloonText">
    <w:name w:val="Balloon Text"/>
    <w:basedOn w:val="Normal"/>
    <w:link w:val="BalloonTextChar"/>
    <w:uiPriority w:val="99"/>
    <w:semiHidden/>
    <w:unhideWhenUsed/>
    <w:rsid w:val="0033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3E5CD5853943F4BD7E8C4B124C0E1D">
    <w:name w:val="233E5CD5853943F4BD7E8C4B124C0E1D"/>
    <w:rsid w:val="00E2536D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E253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5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C736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k.v.newbigging@bham.ac.uk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ocal.gov.uk/" TargetMode="External"/><Relationship Id="rId23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b.k.loyal@bham.ac.uk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7F54DB-A76A-45C7-961D-57ACA81AB8D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28603A5-C3D1-47C8-93DC-7A035E7DDCD8}">
      <dgm:prSet phldrT="[Text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GB"/>
            <a:t>Hear the latest</a:t>
          </a:r>
        </a:p>
      </dgm:t>
    </dgm:pt>
    <dgm:pt modelId="{EFE8B3FF-8185-44CB-A3B0-D169B625F077}" type="parTrans" cxnId="{C5F5E633-5B55-4FDF-8844-07272F62FB51}">
      <dgm:prSet/>
      <dgm:spPr/>
      <dgm:t>
        <a:bodyPr/>
        <a:lstStyle/>
        <a:p>
          <a:endParaRPr lang="en-GB"/>
        </a:p>
      </dgm:t>
    </dgm:pt>
    <dgm:pt modelId="{D5F0CD2F-B1F6-489D-A5AD-18814FCF81CD}" type="sibTrans" cxnId="{C5F5E633-5B55-4FDF-8844-07272F62FB51}">
      <dgm:prSet/>
      <dgm:spPr/>
      <dgm:t>
        <a:bodyPr/>
        <a:lstStyle/>
        <a:p>
          <a:endParaRPr lang="en-GB"/>
        </a:p>
      </dgm:t>
    </dgm:pt>
    <dgm:pt modelId="{6624AD0A-9CC9-4695-A551-1830C49EDCDF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GB"/>
            <a:t>Shape the thinking</a:t>
          </a:r>
        </a:p>
      </dgm:t>
    </dgm:pt>
    <dgm:pt modelId="{913EA180-F166-44EB-A6AC-2BB65C859704}" type="parTrans" cxnId="{D3FD3275-AA3A-4A35-966D-392836176888}">
      <dgm:prSet/>
      <dgm:spPr/>
      <dgm:t>
        <a:bodyPr/>
        <a:lstStyle/>
        <a:p>
          <a:endParaRPr lang="en-GB"/>
        </a:p>
      </dgm:t>
    </dgm:pt>
    <dgm:pt modelId="{D3982BB7-C85C-448A-B98F-6DF61A199C3B}" type="sibTrans" cxnId="{D3FD3275-AA3A-4A35-966D-392836176888}">
      <dgm:prSet/>
      <dgm:spPr/>
      <dgm:t>
        <a:bodyPr/>
        <a:lstStyle/>
        <a:p>
          <a:endParaRPr lang="en-GB"/>
        </a:p>
      </dgm:t>
    </dgm:pt>
    <dgm:pt modelId="{7D328F1D-C517-4B2C-9A0A-A5D888C9B97D}">
      <dgm:prSet phldrT="[Text]"/>
      <dgm:spPr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GB">
              <a:solidFill>
                <a:schemeClr val="accent3">
                  <a:lumMod val="50000"/>
                </a:schemeClr>
              </a:solidFill>
            </a:rPr>
            <a:t>Design the standards</a:t>
          </a:r>
        </a:p>
      </dgm:t>
    </dgm:pt>
    <dgm:pt modelId="{1F54DA08-256F-48D7-AC6B-EC0832224DB8}" type="parTrans" cxnId="{3CED3FC0-A4C0-4E2E-AE8B-02E0D20C35FD}">
      <dgm:prSet/>
      <dgm:spPr/>
      <dgm:t>
        <a:bodyPr/>
        <a:lstStyle/>
        <a:p>
          <a:endParaRPr lang="en-GB"/>
        </a:p>
      </dgm:t>
    </dgm:pt>
    <dgm:pt modelId="{7E6150FC-5018-4C4C-8077-CDBC5524D0C8}" type="sibTrans" cxnId="{3CED3FC0-A4C0-4E2E-AE8B-02E0D20C35FD}">
      <dgm:prSet/>
      <dgm:spPr/>
      <dgm:t>
        <a:bodyPr/>
        <a:lstStyle/>
        <a:p>
          <a:endParaRPr lang="en-GB"/>
        </a:p>
      </dgm:t>
    </dgm:pt>
    <dgm:pt modelId="{E6224CEA-19A8-4193-B2BE-77A4EB2A5A97}" type="pres">
      <dgm:prSet presAssocID="{7F7F54DB-A76A-45C7-961D-57ACA81AB8D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93C9955-8ADD-40E8-B5F3-84B820F276AB}" type="pres">
      <dgm:prSet presAssocID="{728603A5-C3D1-47C8-93DC-7A035E7DDCD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AB4858-1102-4FBA-805E-CEA4BF9256A4}" type="pres">
      <dgm:prSet presAssocID="{D5F0CD2F-B1F6-489D-A5AD-18814FCF81CD}" presName="sibTrans" presStyleLbl="sibTrans2D1" presStyleIdx="0" presStyleCnt="2"/>
      <dgm:spPr/>
      <dgm:t>
        <a:bodyPr/>
        <a:lstStyle/>
        <a:p>
          <a:endParaRPr lang="en-GB"/>
        </a:p>
      </dgm:t>
    </dgm:pt>
    <dgm:pt modelId="{FC9A3494-25CE-437E-9469-D9C022A556D7}" type="pres">
      <dgm:prSet presAssocID="{D5F0CD2F-B1F6-489D-A5AD-18814FCF81CD}" presName="connectorText" presStyleLbl="sibTrans2D1" presStyleIdx="0" presStyleCnt="2"/>
      <dgm:spPr/>
      <dgm:t>
        <a:bodyPr/>
        <a:lstStyle/>
        <a:p>
          <a:endParaRPr lang="en-GB"/>
        </a:p>
      </dgm:t>
    </dgm:pt>
    <dgm:pt modelId="{0EAE4345-2E20-4F96-A8A7-D11FD84B201D}" type="pres">
      <dgm:prSet presAssocID="{6624AD0A-9CC9-4695-A551-1830C49EDCD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CC0FF8-DC62-4F4B-ADB4-479578771E97}" type="pres">
      <dgm:prSet presAssocID="{D3982BB7-C85C-448A-B98F-6DF61A199C3B}" presName="sibTrans" presStyleLbl="sibTrans2D1" presStyleIdx="1" presStyleCnt="2"/>
      <dgm:spPr/>
      <dgm:t>
        <a:bodyPr/>
        <a:lstStyle/>
        <a:p>
          <a:endParaRPr lang="en-GB"/>
        </a:p>
      </dgm:t>
    </dgm:pt>
    <dgm:pt modelId="{7DDC469F-49A2-43FC-84E4-7CC40BA14F9E}" type="pres">
      <dgm:prSet presAssocID="{D3982BB7-C85C-448A-B98F-6DF61A199C3B}" presName="connectorText" presStyleLbl="sibTrans2D1" presStyleIdx="1" presStyleCnt="2"/>
      <dgm:spPr/>
      <dgm:t>
        <a:bodyPr/>
        <a:lstStyle/>
        <a:p>
          <a:endParaRPr lang="en-GB"/>
        </a:p>
      </dgm:t>
    </dgm:pt>
    <dgm:pt modelId="{41EFA185-3ACF-4BC5-AA4F-D1E71969BAAA}" type="pres">
      <dgm:prSet presAssocID="{7D328F1D-C517-4B2C-9A0A-A5D888C9B97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53F4A13-EB4E-41F3-95CA-B67C212CB057}" type="presOf" srcId="{6624AD0A-9CC9-4695-A551-1830C49EDCDF}" destId="{0EAE4345-2E20-4F96-A8A7-D11FD84B201D}" srcOrd="0" destOrd="0" presId="urn:microsoft.com/office/officeart/2005/8/layout/process1"/>
    <dgm:cxn modelId="{190E5010-E98D-441D-A4CC-F58B61FC1EB8}" type="presOf" srcId="{D3982BB7-C85C-448A-B98F-6DF61A199C3B}" destId="{AACC0FF8-DC62-4F4B-ADB4-479578771E97}" srcOrd="0" destOrd="0" presId="urn:microsoft.com/office/officeart/2005/8/layout/process1"/>
    <dgm:cxn modelId="{6EBFA446-6035-4D0D-AF5E-2020F695FA96}" type="presOf" srcId="{D5F0CD2F-B1F6-489D-A5AD-18814FCF81CD}" destId="{E8AB4858-1102-4FBA-805E-CEA4BF9256A4}" srcOrd="0" destOrd="0" presId="urn:microsoft.com/office/officeart/2005/8/layout/process1"/>
    <dgm:cxn modelId="{3CED3FC0-A4C0-4E2E-AE8B-02E0D20C35FD}" srcId="{7F7F54DB-A76A-45C7-961D-57ACA81AB8DF}" destId="{7D328F1D-C517-4B2C-9A0A-A5D888C9B97D}" srcOrd="2" destOrd="0" parTransId="{1F54DA08-256F-48D7-AC6B-EC0832224DB8}" sibTransId="{7E6150FC-5018-4C4C-8077-CDBC5524D0C8}"/>
    <dgm:cxn modelId="{08D9A99E-B892-4231-A96A-B921CC41C9BF}" type="presOf" srcId="{D3982BB7-C85C-448A-B98F-6DF61A199C3B}" destId="{7DDC469F-49A2-43FC-84E4-7CC40BA14F9E}" srcOrd="1" destOrd="0" presId="urn:microsoft.com/office/officeart/2005/8/layout/process1"/>
    <dgm:cxn modelId="{C5F5E633-5B55-4FDF-8844-07272F62FB51}" srcId="{7F7F54DB-A76A-45C7-961D-57ACA81AB8DF}" destId="{728603A5-C3D1-47C8-93DC-7A035E7DDCD8}" srcOrd="0" destOrd="0" parTransId="{EFE8B3FF-8185-44CB-A3B0-D169B625F077}" sibTransId="{D5F0CD2F-B1F6-489D-A5AD-18814FCF81CD}"/>
    <dgm:cxn modelId="{D3FD3275-AA3A-4A35-966D-392836176888}" srcId="{7F7F54DB-A76A-45C7-961D-57ACA81AB8DF}" destId="{6624AD0A-9CC9-4695-A551-1830C49EDCDF}" srcOrd="1" destOrd="0" parTransId="{913EA180-F166-44EB-A6AC-2BB65C859704}" sibTransId="{D3982BB7-C85C-448A-B98F-6DF61A199C3B}"/>
    <dgm:cxn modelId="{56E02E57-E758-4C59-A970-455F3B6A5AC0}" type="presOf" srcId="{D5F0CD2F-B1F6-489D-A5AD-18814FCF81CD}" destId="{FC9A3494-25CE-437E-9469-D9C022A556D7}" srcOrd="1" destOrd="0" presId="urn:microsoft.com/office/officeart/2005/8/layout/process1"/>
    <dgm:cxn modelId="{9B90EA02-6923-46DC-A415-13F30C70D8EE}" type="presOf" srcId="{7D328F1D-C517-4B2C-9A0A-A5D888C9B97D}" destId="{41EFA185-3ACF-4BC5-AA4F-D1E71969BAAA}" srcOrd="0" destOrd="0" presId="urn:microsoft.com/office/officeart/2005/8/layout/process1"/>
    <dgm:cxn modelId="{2F9C01B0-0693-4FA0-9AA8-3B033796EBBA}" type="presOf" srcId="{7F7F54DB-A76A-45C7-961D-57ACA81AB8DF}" destId="{E6224CEA-19A8-4193-B2BE-77A4EB2A5A97}" srcOrd="0" destOrd="0" presId="urn:microsoft.com/office/officeart/2005/8/layout/process1"/>
    <dgm:cxn modelId="{01431DB4-26E6-4978-BA31-C6E5EFF3ABFF}" type="presOf" srcId="{728603A5-C3D1-47C8-93DC-7A035E7DDCD8}" destId="{B93C9955-8ADD-40E8-B5F3-84B820F276AB}" srcOrd="0" destOrd="0" presId="urn:microsoft.com/office/officeart/2005/8/layout/process1"/>
    <dgm:cxn modelId="{7C38CA66-7225-4CB9-BC58-E003626060E9}" type="presParOf" srcId="{E6224CEA-19A8-4193-B2BE-77A4EB2A5A97}" destId="{B93C9955-8ADD-40E8-B5F3-84B820F276AB}" srcOrd="0" destOrd="0" presId="urn:microsoft.com/office/officeart/2005/8/layout/process1"/>
    <dgm:cxn modelId="{5E2E683B-3285-4CA6-8207-95AA9B5B5573}" type="presParOf" srcId="{E6224CEA-19A8-4193-B2BE-77A4EB2A5A97}" destId="{E8AB4858-1102-4FBA-805E-CEA4BF9256A4}" srcOrd="1" destOrd="0" presId="urn:microsoft.com/office/officeart/2005/8/layout/process1"/>
    <dgm:cxn modelId="{E66F3AB2-B314-4E53-B2AF-84FD6CB22B61}" type="presParOf" srcId="{E8AB4858-1102-4FBA-805E-CEA4BF9256A4}" destId="{FC9A3494-25CE-437E-9469-D9C022A556D7}" srcOrd="0" destOrd="0" presId="urn:microsoft.com/office/officeart/2005/8/layout/process1"/>
    <dgm:cxn modelId="{B6CF509F-8C2A-45B1-B266-ECDADA772162}" type="presParOf" srcId="{E6224CEA-19A8-4193-B2BE-77A4EB2A5A97}" destId="{0EAE4345-2E20-4F96-A8A7-D11FD84B201D}" srcOrd="2" destOrd="0" presId="urn:microsoft.com/office/officeart/2005/8/layout/process1"/>
    <dgm:cxn modelId="{ECD462C0-A441-4685-AC64-618AE2379C96}" type="presParOf" srcId="{E6224CEA-19A8-4193-B2BE-77A4EB2A5A97}" destId="{AACC0FF8-DC62-4F4B-ADB4-479578771E97}" srcOrd="3" destOrd="0" presId="urn:microsoft.com/office/officeart/2005/8/layout/process1"/>
    <dgm:cxn modelId="{7FAFF2B4-5147-49BB-BA92-5886997D8564}" type="presParOf" srcId="{AACC0FF8-DC62-4F4B-ADB4-479578771E97}" destId="{7DDC469F-49A2-43FC-84E4-7CC40BA14F9E}" srcOrd="0" destOrd="0" presId="urn:microsoft.com/office/officeart/2005/8/layout/process1"/>
    <dgm:cxn modelId="{77C00997-FE61-41CA-9137-54BBC81E289E}" type="presParOf" srcId="{E6224CEA-19A8-4193-B2BE-77A4EB2A5A97}" destId="{41EFA185-3ACF-4BC5-AA4F-D1E71969BAA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3C9955-8ADD-40E8-B5F3-84B820F276AB}">
      <dsp:nvSpPr>
        <dsp:cNvPr id="0" name=""/>
        <dsp:cNvSpPr/>
      </dsp:nvSpPr>
      <dsp:spPr>
        <a:xfrm>
          <a:off x="4863" y="449696"/>
          <a:ext cx="1453762" cy="872257"/>
        </a:xfrm>
        <a:prstGeom prst="roundRect">
          <a:avLst>
            <a:gd name="adj" fmla="val 10000"/>
          </a:avLst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Hear the latest</a:t>
          </a:r>
        </a:p>
      </dsp:txBody>
      <dsp:txXfrm>
        <a:off x="30411" y="475244"/>
        <a:ext cx="1402666" cy="821161"/>
      </dsp:txXfrm>
    </dsp:sp>
    <dsp:sp modelId="{E8AB4858-1102-4FBA-805E-CEA4BF9256A4}">
      <dsp:nvSpPr>
        <dsp:cNvPr id="0" name=""/>
        <dsp:cNvSpPr/>
      </dsp:nvSpPr>
      <dsp:spPr>
        <a:xfrm>
          <a:off x="1604002" y="705558"/>
          <a:ext cx="308197" cy="3605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1604002" y="777665"/>
        <a:ext cx="215738" cy="216319"/>
      </dsp:txXfrm>
    </dsp:sp>
    <dsp:sp modelId="{0EAE4345-2E20-4F96-A8A7-D11FD84B201D}">
      <dsp:nvSpPr>
        <dsp:cNvPr id="0" name=""/>
        <dsp:cNvSpPr/>
      </dsp:nvSpPr>
      <dsp:spPr>
        <a:xfrm>
          <a:off x="2040131" y="449696"/>
          <a:ext cx="1453762" cy="872257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Shape the thinking</a:t>
          </a:r>
        </a:p>
      </dsp:txBody>
      <dsp:txXfrm>
        <a:off x="2065679" y="475244"/>
        <a:ext cx="1402666" cy="821161"/>
      </dsp:txXfrm>
    </dsp:sp>
    <dsp:sp modelId="{AACC0FF8-DC62-4F4B-ADB4-479578771E97}">
      <dsp:nvSpPr>
        <dsp:cNvPr id="0" name=""/>
        <dsp:cNvSpPr/>
      </dsp:nvSpPr>
      <dsp:spPr>
        <a:xfrm>
          <a:off x="3639269" y="705558"/>
          <a:ext cx="308197" cy="3605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3639269" y="777665"/>
        <a:ext cx="215738" cy="216319"/>
      </dsp:txXfrm>
    </dsp:sp>
    <dsp:sp modelId="{41EFA185-3ACF-4BC5-AA4F-D1E71969BAAA}">
      <dsp:nvSpPr>
        <dsp:cNvPr id="0" name=""/>
        <dsp:cNvSpPr/>
      </dsp:nvSpPr>
      <dsp:spPr>
        <a:xfrm>
          <a:off x="4075398" y="449696"/>
          <a:ext cx="1453762" cy="872257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  <a:alpha val="9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>
              <a:solidFill>
                <a:schemeClr val="accent3">
                  <a:lumMod val="50000"/>
                </a:schemeClr>
              </a:solidFill>
            </a:rPr>
            <a:t>Design the standards</a:t>
          </a:r>
        </a:p>
      </dsp:txBody>
      <dsp:txXfrm>
        <a:off x="4100946" y="475244"/>
        <a:ext cx="1402666" cy="8211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752E0C198E4C8F8B93186E772F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2F949-03C4-4952-8C93-BF82A0C76F75}"/>
      </w:docPartPr>
      <w:docPartBody>
        <w:p w:rsidR="00B27FC8" w:rsidRDefault="00697C2E" w:rsidP="00697C2E">
          <w:pPr>
            <w:pStyle w:val="B0752E0C198E4C8F8B93186E772F89CE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">
    <w:altName w:val="Synt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D9"/>
    <w:rsid w:val="00514CD9"/>
    <w:rsid w:val="00697C2E"/>
    <w:rsid w:val="008D2883"/>
    <w:rsid w:val="00B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7D3C4A8CEA4342B964EF8D1C507B23">
    <w:name w:val="287D3C4A8CEA4342B964EF8D1C507B23"/>
    <w:rsid w:val="00514CD9"/>
  </w:style>
  <w:style w:type="paragraph" w:customStyle="1" w:styleId="C8A62E6F026D41C7BDB4D3CD2B5288A6">
    <w:name w:val="C8A62E6F026D41C7BDB4D3CD2B5288A6"/>
    <w:rsid w:val="00697C2E"/>
  </w:style>
  <w:style w:type="paragraph" w:customStyle="1" w:styleId="973F60610A35445E871BAF9F4FE8F92A">
    <w:name w:val="973F60610A35445E871BAF9F4FE8F92A"/>
    <w:rsid w:val="00697C2E"/>
  </w:style>
  <w:style w:type="paragraph" w:customStyle="1" w:styleId="7EF37E9B37AA4372BE624B46B2BA35AF">
    <w:name w:val="7EF37E9B37AA4372BE624B46B2BA35AF"/>
    <w:rsid w:val="00697C2E"/>
  </w:style>
  <w:style w:type="paragraph" w:customStyle="1" w:styleId="ED65F2FEDC52471FB53BD1B2328FC737">
    <w:name w:val="ED65F2FEDC52471FB53BD1B2328FC737"/>
    <w:rsid w:val="00697C2E"/>
  </w:style>
  <w:style w:type="paragraph" w:customStyle="1" w:styleId="7ACBA66106314B55BE133A216F732F07">
    <w:name w:val="7ACBA66106314B55BE133A216F732F07"/>
    <w:rsid w:val="00697C2E"/>
  </w:style>
  <w:style w:type="paragraph" w:customStyle="1" w:styleId="B0752E0C198E4C8F8B93186E772F89CE">
    <w:name w:val="B0752E0C198E4C8F8B93186E772F89CE"/>
    <w:rsid w:val="00697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3375-DB4A-419E-84DF-864F5EC9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Commissioning for Better Outcomes in Adult Social care</vt:lpstr>
    </vt:vector>
  </TitlesOfParts>
  <Company>University of Birmingham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 for Better Outcomes in Adult Social care</dc:title>
  <dc:creator>Karen Newbigging</dc:creator>
  <cp:lastModifiedBy>Sara Zmertych</cp:lastModifiedBy>
  <cp:revision>2</cp:revision>
  <cp:lastPrinted>2014-05-01T08:18:00Z</cp:lastPrinted>
  <dcterms:created xsi:type="dcterms:W3CDTF">2014-05-19T11:17:00Z</dcterms:created>
  <dcterms:modified xsi:type="dcterms:W3CDTF">2014-05-19T11:17:00Z</dcterms:modified>
</cp:coreProperties>
</file>